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1312" w14:textId="12F7C497" w:rsidR="00153BC0" w:rsidRDefault="006761DD">
      <w:pPr>
        <w:jc w:val="center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noProof/>
          <w:sz w:val="20"/>
          <w:szCs w:val="20"/>
        </w:rPr>
        <w:drawing>
          <wp:inline distT="114300" distB="114300" distL="114300" distR="114300" wp14:anchorId="463D7F31" wp14:editId="04F6FF99">
            <wp:extent cx="2265922" cy="5854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7"/>
                    <a:srcRect l="-4956"/>
                    <a:stretch/>
                  </pic:blipFill>
                  <pic:spPr bwMode="auto">
                    <a:xfrm>
                      <a:off x="0" y="0"/>
                      <a:ext cx="2267153" cy="585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19E50" w14:textId="77777777" w:rsidR="00153BC0" w:rsidRDefault="00153BC0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1DFD131C" w14:textId="77777777" w:rsidR="00E10906" w:rsidRDefault="00E10906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6B2337CE" w14:textId="12B84290" w:rsidR="00153BC0" w:rsidRDefault="005543DA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ARIZONA SUBSTANCE ABUSE PARTNERSHIP</w:t>
      </w:r>
    </w:p>
    <w:p w14:paraId="41DE47B5" w14:textId="69555C3D" w:rsidR="005D0B3B" w:rsidRDefault="005D0B3B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 INVENTORY WORKGROUP</w:t>
      </w:r>
    </w:p>
    <w:p w14:paraId="4120C462" w14:textId="77777777" w:rsidR="00153BC0" w:rsidRDefault="00153BC0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211AC8D5" w14:textId="51136A75" w:rsidR="00153BC0" w:rsidRPr="001114F4" w:rsidRDefault="005E2DBD">
      <w:pPr>
        <w:jc w:val="center"/>
        <w:rPr>
          <w:rFonts w:ascii="Arial Narrow" w:eastAsia="Arial Narrow" w:hAnsi="Arial Narrow" w:cs="Arial Narrow"/>
          <w:b/>
          <w:szCs w:val="22"/>
        </w:rPr>
      </w:pPr>
      <w:r>
        <w:rPr>
          <w:rFonts w:ascii="Arial Narrow" w:eastAsia="Arial Narrow" w:hAnsi="Arial Narrow" w:cs="Arial Narrow"/>
          <w:b/>
          <w:szCs w:val="22"/>
        </w:rPr>
        <w:t>June</w:t>
      </w:r>
      <w:r w:rsidR="00850C52">
        <w:rPr>
          <w:rFonts w:ascii="Arial Narrow" w:eastAsia="Arial Narrow" w:hAnsi="Arial Narrow" w:cs="Arial Narrow"/>
          <w:b/>
          <w:szCs w:val="22"/>
        </w:rPr>
        <w:t xml:space="preserve"> 2</w:t>
      </w:r>
      <w:r>
        <w:rPr>
          <w:rFonts w:ascii="Arial Narrow" w:eastAsia="Arial Narrow" w:hAnsi="Arial Narrow" w:cs="Arial Narrow"/>
          <w:b/>
          <w:szCs w:val="22"/>
        </w:rPr>
        <w:t>7</w:t>
      </w:r>
      <w:r w:rsidR="00DF6C68" w:rsidRPr="001114F4">
        <w:rPr>
          <w:rFonts w:ascii="Arial Narrow" w:eastAsia="Arial Narrow" w:hAnsi="Arial Narrow" w:cs="Arial Narrow"/>
          <w:b/>
          <w:szCs w:val="22"/>
        </w:rPr>
        <w:t>,</w:t>
      </w:r>
      <w:r w:rsidR="006761DD">
        <w:rPr>
          <w:rFonts w:ascii="Arial Narrow" w:eastAsia="Arial Narrow" w:hAnsi="Arial Narrow" w:cs="Arial Narrow"/>
          <w:b/>
          <w:szCs w:val="22"/>
        </w:rPr>
        <w:t xml:space="preserve"> 2019</w:t>
      </w:r>
    </w:p>
    <w:p w14:paraId="1B975611" w14:textId="456F8416" w:rsidR="00153BC0" w:rsidRPr="001114F4" w:rsidRDefault="005D0B3B">
      <w:pPr>
        <w:jc w:val="center"/>
        <w:rPr>
          <w:rFonts w:ascii="Arial Narrow" w:eastAsia="Arial Narrow" w:hAnsi="Arial Narrow" w:cs="Arial Narrow"/>
          <w:b/>
          <w:szCs w:val="22"/>
        </w:rPr>
      </w:pPr>
      <w:r>
        <w:rPr>
          <w:rFonts w:ascii="Arial Narrow" w:eastAsia="Arial Narrow" w:hAnsi="Arial Narrow" w:cs="Arial Narrow"/>
          <w:b/>
          <w:szCs w:val="22"/>
        </w:rPr>
        <w:t>1</w:t>
      </w:r>
      <w:r w:rsidR="002C3ABA">
        <w:rPr>
          <w:rFonts w:ascii="Arial Narrow" w:eastAsia="Arial Narrow" w:hAnsi="Arial Narrow" w:cs="Arial Narrow"/>
          <w:b/>
          <w:szCs w:val="22"/>
        </w:rPr>
        <w:t>:</w:t>
      </w:r>
      <w:r>
        <w:rPr>
          <w:rFonts w:ascii="Arial Narrow" w:eastAsia="Arial Narrow" w:hAnsi="Arial Narrow" w:cs="Arial Narrow"/>
          <w:b/>
          <w:szCs w:val="22"/>
        </w:rPr>
        <w:t>0</w:t>
      </w:r>
      <w:r w:rsidR="00AD0866">
        <w:rPr>
          <w:rFonts w:ascii="Arial Narrow" w:eastAsia="Arial Narrow" w:hAnsi="Arial Narrow" w:cs="Arial Narrow"/>
          <w:b/>
          <w:szCs w:val="22"/>
        </w:rPr>
        <w:t>0</w:t>
      </w:r>
      <w:r w:rsidR="006761DD">
        <w:rPr>
          <w:rFonts w:ascii="Arial Narrow" w:eastAsia="Arial Narrow" w:hAnsi="Arial Narrow" w:cs="Arial Narrow"/>
          <w:b/>
          <w:szCs w:val="22"/>
        </w:rPr>
        <w:t xml:space="preserve"> </w:t>
      </w:r>
      <w:r w:rsidR="002C3ABA">
        <w:rPr>
          <w:rFonts w:ascii="Arial Narrow" w:eastAsia="Arial Narrow" w:hAnsi="Arial Narrow" w:cs="Arial Narrow"/>
          <w:b/>
          <w:szCs w:val="22"/>
        </w:rPr>
        <w:t>P</w:t>
      </w:r>
      <w:r w:rsidR="005543DA" w:rsidRPr="001114F4">
        <w:rPr>
          <w:rFonts w:ascii="Arial Narrow" w:eastAsia="Arial Narrow" w:hAnsi="Arial Narrow" w:cs="Arial Narrow"/>
          <w:b/>
          <w:szCs w:val="22"/>
        </w:rPr>
        <w:t>M</w:t>
      </w:r>
    </w:p>
    <w:p w14:paraId="206016FD" w14:textId="12A49644" w:rsidR="00DF6C68" w:rsidRDefault="006761DD" w:rsidP="00DF6C6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State Capitol Executive Tower</w:t>
      </w:r>
    </w:p>
    <w:p w14:paraId="1D6AADD0" w14:textId="04A22ECA" w:rsidR="00DF6C68" w:rsidRDefault="006761DD" w:rsidP="00DF6C6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1700 W Washington Street, Suite 230</w:t>
      </w:r>
    </w:p>
    <w:p w14:paraId="2E31E7AE" w14:textId="7F19C376" w:rsidR="00DF6C68" w:rsidRPr="00DF6C68" w:rsidRDefault="006761DD" w:rsidP="00DF6C6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Phoenix</w:t>
      </w:r>
      <w:r w:rsidR="00DF6C68">
        <w:rPr>
          <w:rFonts w:ascii="Arial Narrow" w:hAnsi="Arial Narrow"/>
          <w:b/>
        </w:rPr>
        <w:t>, AZ</w:t>
      </w:r>
      <w:r w:rsidR="00DF6C68" w:rsidRPr="00DF6C68">
        <w:rPr>
          <w:rFonts w:ascii="Arial Narrow" w:hAnsi="Arial Narrow"/>
          <w:b/>
        </w:rPr>
        <w:t xml:space="preserve"> 85</w:t>
      </w:r>
      <w:r>
        <w:rPr>
          <w:rFonts w:ascii="Arial Narrow" w:hAnsi="Arial Narrow"/>
          <w:b/>
        </w:rPr>
        <w:t>007</w:t>
      </w:r>
    </w:p>
    <w:p w14:paraId="65FC6008" w14:textId="77777777" w:rsidR="00E10906" w:rsidRDefault="00E10906" w:rsidP="00DB6D3A">
      <w:pPr>
        <w:rPr>
          <w:rFonts w:ascii="Palatino Linotype" w:eastAsia="Palatino Linotype" w:hAnsi="Palatino Linotype" w:cs="Palatino Linotype"/>
          <w:b/>
          <w:sz w:val="16"/>
          <w:szCs w:val="16"/>
        </w:rPr>
      </w:pPr>
    </w:p>
    <w:p w14:paraId="346642FD" w14:textId="77777777" w:rsidR="00153BC0" w:rsidRDefault="005543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Pursuant to ARS 38-431.02 (A) (2), the Arizona Substance Abuse Partnership can vote to go into Executive Session for the purpose of discussion or considering documents exempt by law from public inspection and/or discussion or consultation for legal advice with its attorney.</w:t>
      </w:r>
    </w:p>
    <w:p w14:paraId="5224B1C3" w14:textId="0AC0929D" w:rsidR="00153BC0" w:rsidRDefault="005D0B3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10"/>
          <w:szCs w:val="10"/>
        </w:rPr>
      </w:pPr>
      <w:r>
        <w:rPr>
          <w:rFonts w:ascii="Arial Narrow" w:eastAsia="Arial Narrow" w:hAnsi="Arial Narrow" w:cs="Arial Narrow"/>
          <w:i/>
          <w:color w:val="000000"/>
          <w:sz w:val="10"/>
          <w:szCs w:val="10"/>
        </w:rPr>
        <w:tab/>
      </w:r>
    </w:p>
    <w:p w14:paraId="64C4551D" w14:textId="77777777" w:rsidR="00153BC0" w:rsidRDefault="005543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smallCaps/>
          <w:color w:val="000000"/>
          <w:sz w:val="10"/>
          <w:szCs w:val="10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Pursuant to A.R.S. § 38-431.01 (H), the Arizona Substance Abuse Partnership may obtain public comment pertaining to any of the listed agenda items if it so desires. A formal call to the public will take place at the end of the meeting. </w:t>
      </w:r>
    </w:p>
    <w:p w14:paraId="5689B381" w14:textId="77777777" w:rsidR="00E10906" w:rsidRDefault="00E1090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smallCaps/>
          <w:color w:val="000000"/>
          <w:sz w:val="12"/>
          <w:szCs w:val="12"/>
        </w:rPr>
      </w:pPr>
    </w:p>
    <w:p w14:paraId="7AB0CFE7" w14:textId="77777777" w:rsidR="00153BC0" w:rsidRDefault="005543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mallCaps/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</w:rPr>
        <w:t xml:space="preserve">MEETING AGENDA </w:t>
      </w:r>
    </w:p>
    <w:tbl>
      <w:tblPr>
        <w:tblStyle w:val="a"/>
        <w:tblW w:w="10815" w:type="dxa"/>
        <w:tblLayout w:type="fixed"/>
        <w:tblLook w:val="0400" w:firstRow="0" w:lastRow="0" w:firstColumn="0" w:lastColumn="0" w:noHBand="0" w:noVBand="1"/>
      </w:tblPr>
      <w:tblGrid>
        <w:gridCol w:w="4755"/>
        <w:gridCol w:w="3993"/>
        <w:gridCol w:w="2067"/>
      </w:tblGrid>
      <w:tr w:rsidR="00153BC0" w14:paraId="11FF3439" w14:textId="77777777" w:rsidTr="005E2DBD">
        <w:trPr>
          <w:trHeight w:val="220"/>
        </w:trPr>
        <w:tc>
          <w:tcPr>
            <w:tcW w:w="4755" w:type="dxa"/>
          </w:tcPr>
          <w:p w14:paraId="6C24DD68" w14:textId="77777777" w:rsidR="00153BC0" w:rsidRDefault="0055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Agenda Item</w:t>
            </w:r>
          </w:p>
        </w:tc>
        <w:tc>
          <w:tcPr>
            <w:tcW w:w="3993" w:type="dxa"/>
          </w:tcPr>
          <w:p w14:paraId="5D4ECECC" w14:textId="77777777" w:rsidR="00153BC0" w:rsidRDefault="0015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67" w:type="dxa"/>
          </w:tcPr>
          <w:p w14:paraId="3360573B" w14:textId="77777777" w:rsidR="00153BC0" w:rsidRDefault="0055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Anticipated Action</w:t>
            </w:r>
          </w:p>
        </w:tc>
      </w:tr>
      <w:tr w:rsidR="00153BC0" w14:paraId="7583B078" w14:textId="77777777" w:rsidTr="005E2DBD">
        <w:tc>
          <w:tcPr>
            <w:tcW w:w="4755" w:type="dxa"/>
          </w:tcPr>
          <w:p w14:paraId="0683349E" w14:textId="77777777" w:rsidR="00153BC0" w:rsidRDefault="0015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</w:tcPr>
          <w:p w14:paraId="728656EE" w14:textId="77777777" w:rsidR="00153BC0" w:rsidRDefault="0015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67" w:type="dxa"/>
          </w:tcPr>
          <w:p w14:paraId="26C1D7E2" w14:textId="77777777" w:rsidR="00153BC0" w:rsidRDefault="0015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</w:tr>
      <w:tr w:rsidR="00153BC0" w14:paraId="7CFC527E" w14:textId="77777777" w:rsidTr="005E2DBD">
        <w:trPr>
          <w:trHeight w:val="397"/>
        </w:trPr>
        <w:tc>
          <w:tcPr>
            <w:tcW w:w="4755" w:type="dxa"/>
          </w:tcPr>
          <w:p w14:paraId="5815F4B6" w14:textId="77777777" w:rsidR="00153BC0" w:rsidRPr="000B71C4" w:rsidRDefault="005543DA" w:rsidP="0098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B71C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Call to Order*</w:t>
            </w:r>
          </w:p>
        </w:tc>
        <w:tc>
          <w:tcPr>
            <w:tcW w:w="3993" w:type="dxa"/>
          </w:tcPr>
          <w:p w14:paraId="5D59D38A" w14:textId="1427F0C3" w:rsidR="00153BC0" w:rsidRPr="000B71C4" w:rsidRDefault="00FD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Merilee Fowler, Co-Chair</w:t>
            </w:r>
          </w:p>
        </w:tc>
        <w:tc>
          <w:tcPr>
            <w:tcW w:w="2067" w:type="dxa"/>
          </w:tcPr>
          <w:p w14:paraId="5A1544C6" w14:textId="77777777" w:rsidR="00153BC0" w:rsidRPr="000B71C4" w:rsidRDefault="0055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B71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Action</w:t>
            </w:r>
          </w:p>
        </w:tc>
      </w:tr>
      <w:tr w:rsidR="00153BC0" w14:paraId="00A56DFE" w14:textId="77777777" w:rsidTr="005E2DBD">
        <w:trPr>
          <w:trHeight w:val="379"/>
        </w:trPr>
        <w:tc>
          <w:tcPr>
            <w:tcW w:w="4755" w:type="dxa"/>
          </w:tcPr>
          <w:p w14:paraId="5848C58C" w14:textId="77777777" w:rsidR="00153BC0" w:rsidRPr="000B71C4" w:rsidRDefault="005543DA" w:rsidP="0098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B71C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Approval of Minutes* </w:t>
            </w:r>
          </w:p>
        </w:tc>
        <w:tc>
          <w:tcPr>
            <w:tcW w:w="3993" w:type="dxa"/>
          </w:tcPr>
          <w:p w14:paraId="7ACF7F65" w14:textId="78FBA7B7" w:rsidR="00153BC0" w:rsidRPr="000B71C4" w:rsidRDefault="0076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Lee Pioske,</w:t>
            </w:r>
            <w:r w:rsidR="002454C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Co-Chair</w:t>
            </w:r>
            <w:r w:rsidR="002454C1" w:rsidRPr="000B71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</w:tcPr>
          <w:p w14:paraId="05574958" w14:textId="77777777" w:rsidR="00153BC0" w:rsidRPr="000B71C4" w:rsidRDefault="0055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B71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Discussion/Action</w:t>
            </w:r>
          </w:p>
        </w:tc>
      </w:tr>
      <w:tr w:rsidR="00766F87" w14:paraId="10B198DF" w14:textId="77777777" w:rsidTr="005E2DBD">
        <w:trPr>
          <w:trHeight w:val="640"/>
        </w:trPr>
        <w:tc>
          <w:tcPr>
            <w:tcW w:w="4755" w:type="dxa"/>
          </w:tcPr>
          <w:p w14:paraId="48D4D8C2" w14:textId="6E45BF46" w:rsidR="00766F87" w:rsidRDefault="005E2DBD" w:rsidP="0098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Substance Abuse Prevention Definition and National Prevention Network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3" w:type="dxa"/>
          </w:tcPr>
          <w:p w14:paraId="288C5448" w14:textId="0F8A4E2D" w:rsidR="00766F87" w:rsidRDefault="005E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Gabrielle Richard, Arizona Health Care Cost Containment System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</w:tcPr>
          <w:p w14:paraId="2D0C4F75" w14:textId="77777777" w:rsidR="00766F87" w:rsidRDefault="00766F87" w:rsidP="0076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Presentation/</w:t>
            </w:r>
            <w:r w:rsidRPr="000B71C4">
              <w:rPr>
                <w:rFonts w:ascii="Arial Narrow" w:eastAsia="Arial Narrow" w:hAnsi="Arial Narrow" w:cs="Arial Narrow"/>
                <w:sz w:val="20"/>
                <w:szCs w:val="20"/>
              </w:rPr>
              <w:t>Discussion</w:t>
            </w:r>
          </w:p>
          <w:p w14:paraId="2A8A24C6" w14:textId="77777777" w:rsidR="00766F87" w:rsidRDefault="0076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66F87" w14:paraId="71BF3A3A" w14:textId="77777777" w:rsidTr="005E2DBD">
        <w:trPr>
          <w:trHeight w:val="640"/>
        </w:trPr>
        <w:tc>
          <w:tcPr>
            <w:tcW w:w="4755" w:type="dxa"/>
          </w:tcPr>
          <w:p w14:paraId="79C70319" w14:textId="04C7C19E" w:rsidR="00766F87" w:rsidRDefault="005E2DBD" w:rsidP="0098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Evaluating and Defining Outcomes for Substance Abuse Prevention</w:t>
            </w:r>
          </w:p>
        </w:tc>
        <w:tc>
          <w:tcPr>
            <w:tcW w:w="3993" w:type="dxa"/>
          </w:tcPr>
          <w:p w14:paraId="62CED981" w14:textId="0BD41DA3" w:rsidR="00766F87" w:rsidRDefault="005E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Wolfersteig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Ph.D.,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Arizona State University, Southwest Interdisciplinary Research Center</w:t>
            </w:r>
          </w:p>
        </w:tc>
        <w:tc>
          <w:tcPr>
            <w:tcW w:w="2067" w:type="dxa"/>
          </w:tcPr>
          <w:p w14:paraId="2D89A88F" w14:textId="77777777" w:rsidR="00766F87" w:rsidRDefault="00766F87" w:rsidP="0076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Presentation/</w:t>
            </w:r>
            <w:r w:rsidRPr="000B71C4">
              <w:rPr>
                <w:rFonts w:ascii="Arial Narrow" w:eastAsia="Arial Narrow" w:hAnsi="Arial Narrow" w:cs="Arial Narrow"/>
                <w:sz w:val="20"/>
                <w:szCs w:val="20"/>
              </w:rPr>
              <w:t>Discussion</w:t>
            </w:r>
          </w:p>
          <w:p w14:paraId="347B1AC8" w14:textId="77777777" w:rsidR="00766F87" w:rsidRDefault="0076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77474" w14:paraId="17F3BC14" w14:textId="77777777" w:rsidTr="005E2DBD">
        <w:trPr>
          <w:trHeight w:val="452"/>
        </w:trPr>
        <w:tc>
          <w:tcPr>
            <w:tcW w:w="4755" w:type="dxa"/>
          </w:tcPr>
          <w:p w14:paraId="780A999C" w14:textId="1749E481" w:rsidR="006F7278" w:rsidRPr="005D0B3B" w:rsidRDefault="00277474" w:rsidP="005D0B3B">
            <w:pPr>
              <w:rPr>
                <w:rFonts w:ascii="Arial Narrow" w:eastAsia="Arial Narrow" w:hAnsi="Arial Narrow"/>
                <w:b/>
                <w:sz w:val="20"/>
                <w:szCs w:val="20"/>
              </w:rPr>
            </w:pPr>
            <w:r w:rsidRPr="00983A99">
              <w:rPr>
                <w:rFonts w:ascii="Arial Narrow" w:eastAsia="Arial Narrow" w:hAnsi="Arial Narrow"/>
                <w:b/>
                <w:sz w:val="20"/>
                <w:szCs w:val="20"/>
              </w:rPr>
              <w:t>Meeting Dates</w:t>
            </w:r>
          </w:p>
        </w:tc>
        <w:tc>
          <w:tcPr>
            <w:tcW w:w="3993" w:type="dxa"/>
          </w:tcPr>
          <w:p w14:paraId="49B3F5A6" w14:textId="730C25CA" w:rsidR="00277474" w:rsidRPr="000B71C4" w:rsidRDefault="002454C1" w:rsidP="000B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Merilee Fowler, Co-Chair</w:t>
            </w:r>
          </w:p>
        </w:tc>
        <w:tc>
          <w:tcPr>
            <w:tcW w:w="2067" w:type="dxa"/>
          </w:tcPr>
          <w:p w14:paraId="17E3C470" w14:textId="0807E388" w:rsidR="00277474" w:rsidRPr="000B71C4" w:rsidRDefault="0027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B71C4">
              <w:rPr>
                <w:rFonts w:ascii="Arial Narrow" w:eastAsia="Arial Narrow" w:hAnsi="Arial Narrow" w:cs="Arial Narrow"/>
                <w:sz w:val="20"/>
                <w:szCs w:val="20"/>
              </w:rPr>
              <w:t>Discussio</w:t>
            </w:r>
            <w:r w:rsidR="005D0B3B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</w:tr>
      <w:tr w:rsidR="00277474" w14:paraId="65EBFBCD" w14:textId="77777777" w:rsidTr="005E2DBD">
        <w:trPr>
          <w:trHeight w:val="370"/>
        </w:trPr>
        <w:tc>
          <w:tcPr>
            <w:tcW w:w="4755" w:type="dxa"/>
          </w:tcPr>
          <w:p w14:paraId="7206FD9F" w14:textId="4E9BA62C" w:rsidR="00277474" w:rsidRPr="00983A99" w:rsidRDefault="00277474" w:rsidP="00983A99">
            <w:pPr>
              <w:rPr>
                <w:rFonts w:ascii="Arial Narrow" w:eastAsia="Arial Narrow" w:hAnsi="Arial Narrow"/>
                <w:b/>
                <w:sz w:val="20"/>
                <w:szCs w:val="20"/>
              </w:rPr>
            </w:pPr>
            <w:r w:rsidRPr="00983A99">
              <w:rPr>
                <w:rFonts w:ascii="Arial Narrow" w:eastAsia="Arial Narrow" w:hAnsi="Arial Narrow"/>
                <w:b/>
                <w:sz w:val="20"/>
                <w:szCs w:val="20"/>
              </w:rPr>
              <w:t>Call to the Public*</w:t>
            </w:r>
          </w:p>
        </w:tc>
        <w:tc>
          <w:tcPr>
            <w:tcW w:w="3993" w:type="dxa"/>
          </w:tcPr>
          <w:p w14:paraId="113CB8C5" w14:textId="440CCF2C" w:rsidR="00277474" w:rsidRPr="000B71C4" w:rsidRDefault="00766F87" w:rsidP="000B71C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Lee Pioske, Co-Chair</w:t>
            </w:r>
            <w:r w:rsidRPr="000B71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</w:tcPr>
          <w:p w14:paraId="618928B8" w14:textId="29C24771" w:rsidR="00277474" w:rsidRPr="000B71C4" w:rsidRDefault="0027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B71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Discussion</w:t>
            </w:r>
          </w:p>
        </w:tc>
      </w:tr>
      <w:tr w:rsidR="00277474" w14:paraId="107966B4" w14:textId="77777777" w:rsidTr="005E2DBD">
        <w:trPr>
          <w:trHeight w:val="320"/>
        </w:trPr>
        <w:tc>
          <w:tcPr>
            <w:tcW w:w="4755" w:type="dxa"/>
          </w:tcPr>
          <w:p w14:paraId="104C7306" w14:textId="77777777" w:rsidR="00277474" w:rsidRPr="00983A99" w:rsidRDefault="00277474" w:rsidP="00983A99">
            <w:pPr>
              <w:rPr>
                <w:rFonts w:ascii="Arial Narrow" w:eastAsia="Arial Narrow" w:hAnsi="Arial Narrow"/>
                <w:b/>
                <w:sz w:val="20"/>
                <w:szCs w:val="20"/>
              </w:rPr>
            </w:pPr>
            <w:r w:rsidRPr="00983A99">
              <w:rPr>
                <w:rFonts w:ascii="Arial Narrow" w:eastAsia="Arial Narrow" w:hAnsi="Arial Narrow"/>
                <w:b/>
                <w:sz w:val="20"/>
                <w:szCs w:val="20"/>
              </w:rPr>
              <w:t>Adjourn*</w:t>
            </w:r>
          </w:p>
          <w:p w14:paraId="33D7BC34" w14:textId="77777777" w:rsidR="000B71C4" w:rsidRPr="00983A99" w:rsidRDefault="000B71C4" w:rsidP="0098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2927C2F6" w14:textId="5FE55C02" w:rsidR="00277474" w:rsidRPr="00983A99" w:rsidRDefault="00277474" w:rsidP="0098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983A99">
              <w:rPr>
                <w:rFonts w:ascii="Arial Narrow" w:hAnsi="Arial Narrow"/>
                <w:b/>
                <w:color w:val="000000"/>
                <w:sz w:val="20"/>
                <w:szCs w:val="20"/>
              </w:rPr>
              <w:t>*</w:t>
            </w:r>
            <w:r w:rsidRPr="00983A9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Standing agenda item.</w:t>
            </w:r>
          </w:p>
        </w:tc>
        <w:tc>
          <w:tcPr>
            <w:tcW w:w="3993" w:type="dxa"/>
          </w:tcPr>
          <w:p w14:paraId="756F28E3" w14:textId="26D8B05A" w:rsidR="00277474" w:rsidRPr="000B71C4" w:rsidRDefault="00766F87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Lee Pioske, Co-Chair</w:t>
            </w:r>
          </w:p>
        </w:tc>
        <w:tc>
          <w:tcPr>
            <w:tcW w:w="2067" w:type="dxa"/>
          </w:tcPr>
          <w:p w14:paraId="44807E48" w14:textId="428A86D9" w:rsidR="00277474" w:rsidRPr="000B71C4" w:rsidRDefault="0027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B71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Action</w:t>
            </w:r>
          </w:p>
        </w:tc>
      </w:tr>
      <w:tr w:rsidR="00277474" w14:paraId="2058DA33" w14:textId="77777777" w:rsidTr="005E2DBD">
        <w:tc>
          <w:tcPr>
            <w:tcW w:w="4755" w:type="dxa"/>
          </w:tcPr>
          <w:p w14:paraId="0490D5E7" w14:textId="0C7F2619" w:rsidR="00277474" w:rsidRDefault="0027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</w:tcPr>
          <w:p w14:paraId="436ABCA9" w14:textId="6FBEF9B9" w:rsidR="00277474" w:rsidRDefault="0027747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67" w:type="dxa"/>
          </w:tcPr>
          <w:p w14:paraId="70D46CA5" w14:textId="2D2E9961" w:rsidR="00277474" w:rsidRDefault="0027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0BB78B81" w14:textId="77777777" w:rsidR="00153BC0" w:rsidRDefault="00153B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B6F9773" w14:textId="46819EC6" w:rsidR="00153BC0" w:rsidRDefault="005543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 w:val="16"/>
          <w:szCs w:val="16"/>
        </w:rPr>
      </w:pP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Arizona Substance Abuse Partnership meeting agendas are subject to change up to 24 hours prior to the meeting.  Supporting documentation related to agenda items is available by contacting Samuel Burba, </w:t>
      </w:r>
      <w:r w:rsidR="00695019">
        <w:rPr>
          <w:rFonts w:ascii="Arial" w:eastAsia="Arial" w:hAnsi="Arial" w:cs="Arial"/>
          <w:i/>
          <w:color w:val="FF0000"/>
          <w:sz w:val="16"/>
          <w:szCs w:val="16"/>
        </w:rPr>
        <w:t>Director of Substance Abuse Initiatives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, Governor’s Office </w:t>
      </w:r>
      <w:r w:rsidR="00695019">
        <w:rPr>
          <w:rFonts w:ascii="Arial" w:eastAsia="Arial" w:hAnsi="Arial" w:cs="Arial"/>
          <w:i/>
          <w:color w:val="FF0000"/>
          <w:sz w:val="16"/>
          <w:szCs w:val="16"/>
        </w:rPr>
        <w:t>of Youth, Faith and Family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 at sburba@az.gov.</w:t>
      </w:r>
      <w:bookmarkStart w:id="1" w:name="_GoBack"/>
      <w:bookmarkEnd w:id="1"/>
    </w:p>
    <w:sectPr w:rsidR="0015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1D07" w14:textId="77777777" w:rsidR="001C4A60" w:rsidRDefault="001C4A60">
      <w:r>
        <w:separator/>
      </w:r>
    </w:p>
  </w:endnote>
  <w:endnote w:type="continuationSeparator" w:id="0">
    <w:p w14:paraId="4C0BF8AC" w14:textId="77777777" w:rsidR="001C4A60" w:rsidRDefault="001C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A851" w14:textId="77777777" w:rsidR="00153BC0" w:rsidRDefault="00153B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4BCD" w14:textId="77777777" w:rsidR="00153BC0" w:rsidRDefault="00153B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CDB3" w14:textId="77777777" w:rsidR="00153BC0" w:rsidRDefault="00153B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9A62" w14:textId="77777777" w:rsidR="001C4A60" w:rsidRDefault="001C4A60">
      <w:r>
        <w:separator/>
      </w:r>
    </w:p>
  </w:footnote>
  <w:footnote w:type="continuationSeparator" w:id="0">
    <w:p w14:paraId="4778FDDC" w14:textId="77777777" w:rsidR="001C4A60" w:rsidRDefault="001C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ED45" w14:textId="064C6A88" w:rsidR="00153BC0" w:rsidRDefault="00153B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5F69" w14:textId="3C9F904A" w:rsidR="00153BC0" w:rsidRDefault="00153B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5006" w14:textId="7DB43B1B" w:rsidR="00153BC0" w:rsidRDefault="00153B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7A4"/>
    <w:multiLevelType w:val="hybridMultilevel"/>
    <w:tmpl w:val="0EBC8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3479"/>
    <w:multiLevelType w:val="multilevel"/>
    <w:tmpl w:val="698458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947BFD"/>
    <w:multiLevelType w:val="multilevel"/>
    <w:tmpl w:val="E8FCCAEC"/>
    <w:lvl w:ilvl="0">
      <w:start w:val="10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FE02B2"/>
    <w:multiLevelType w:val="multilevel"/>
    <w:tmpl w:val="A6766B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6E6505"/>
    <w:multiLevelType w:val="multilevel"/>
    <w:tmpl w:val="F25662EC"/>
    <w:lvl w:ilvl="0">
      <w:start w:val="1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F53708"/>
    <w:multiLevelType w:val="multilevel"/>
    <w:tmpl w:val="D382D668"/>
    <w:lvl w:ilvl="0">
      <w:start w:val="1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E22B29"/>
    <w:multiLevelType w:val="multilevel"/>
    <w:tmpl w:val="FE8CC6E6"/>
    <w:lvl w:ilvl="0">
      <w:start w:val="1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4F4F41"/>
    <w:multiLevelType w:val="multilevel"/>
    <w:tmpl w:val="8318A95C"/>
    <w:lvl w:ilvl="0">
      <w:start w:val="8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3149DD"/>
    <w:multiLevelType w:val="multilevel"/>
    <w:tmpl w:val="0EBC88D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3E6C"/>
    <w:multiLevelType w:val="multilevel"/>
    <w:tmpl w:val="2C76F31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8367A"/>
    <w:multiLevelType w:val="multilevel"/>
    <w:tmpl w:val="4878A558"/>
    <w:lvl w:ilvl="0">
      <w:start w:val="9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6849BA"/>
    <w:multiLevelType w:val="hybridMultilevel"/>
    <w:tmpl w:val="3E8873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679D0"/>
    <w:multiLevelType w:val="multilevel"/>
    <w:tmpl w:val="9A72A880"/>
    <w:lvl w:ilvl="0">
      <w:start w:val="1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4E6C64"/>
    <w:multiLevelType w:val="multilevel"/>
    <w:tmpl w:val="A6766B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73B46C6"/>
    <w:multiLevelType w:val="multilevel"/>
    <w:tmpl w:val="A6766B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DDB542C"/>
    <w:multiLevelType w:val="multilevel"/>
    <w:tmpl w:val="A6766B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66F7367"/>
    <w:multiLevelType w:val="multilevel"/>
    <w:tmpl w:val="A6766B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804264F"/>
    <w:multiLevelType w:val="multilevel"/>
    <w:tmpl w:val="AA7E205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648EB"/>
    <w:multiLevelType w:val="hybridMultilevel"/>
    <w:tmpl w:val="2C76F3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5236D0"/>
    <w:multiLevelType w:val="multilevel"/>
    <w:tmpl w:val="27E288C8"/>
    <w:lvl w:ilvl="0">
      <w:start w:val="7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2C711A6"/>
    <w:multiLevelType w:val="hybridMultilevel"/>
    <w:tmpl w:val="6882A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E11EF"/>
    <w:multiLevelType w:val="multilevel"/>
    <w:tmpl w:val="55761C4A"/>
    <w:lvl w:ilvl="0">
      <w:start w:val="1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7"/>
  </w:num>
  <w:num w:numId="5">
    <w:abstractNumId w:val="19"/>
  </w:num>
  <w:num w:numId="6">
    <w:abstractNumId w:val="21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18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11"/>
  </w:num>
  <w:num w:numId="18">
    <w:abstractNumId w:val="20"/>
  </w:num>
  <w:num w:numId="19">
    <w:abstractNumId w:val="3"/>
  </w:num>
  <w:num w:numId="20">
    <w:abstractNumId w:val="1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C0"/>
    <w:rsid w:val="00033E15"/>
    <w:rsid w:val="0004575B"/>
    <w:rsid w:val="00080533"/>
    <w:rsid w:val="000B71C4"/>
    <w:rsid w:val="000D2AF9"/>
    <w:rsid w:val="000D3C1B"/>
    <w:rsid w:val="001114F4"/>
    <w:rsid w:val="00153BC0"/>
    <w:rsid w:val="00157F68"/>
    <w:rsid w:val="00161F24"/>
    <w:rsid w:val="00182A71"/>
    <w:rsid w:val="001C4A60"/>
    <w:rsid w:val="001F33D2"/>
    <w:rsid w:val="002454C1"/>
    <w:rsid w:val="00277474"/>
    <w:rsid w:val="002B3449"/>
    <w:rsid w:val="002B7B60"/>
    <w:rsid w:val="002C3ABA"/>
    <w:rsid w:val="00310ED9"/>
    <w:rsid w:val="0032097E"/>
    <w:rsid w:val="00323E04"/>
    <w:rsid w:val="00360994"/>
    <w:rsid w:val="00443B86"/>
    <w:rsid w:val="00453A7C"/>
    <w:rsid w:val="00454735"/>
    <w:rsid w:val="00472773"/>
    <w:rsid w:val="004C5E0A"/>
    <w:rsid w:val="004E21BB"/>
    <w:rsid w:val="004F76DB"/>
    <w:rsid w:val="00514369"/>
    <w:rsid w:val="005256FD"/>
    <w:rsid w:val="005543DA"/>
    <w:rsid w:val="00565EF5"/>
    <w:rsid w:val="005D0B3B"/>
    <w:rsid w:val="005E2DBD"/>
    <w:rsid w:val="006027B8"/>
    <w:rsid w:val="00644902"/>
    <w:rsid w:val="00675AEF"/>
    <w:rsid w:val="006761DD"/>
    <w:rsid w:val="00695019"/>
    <w:rsid w:val="006F6CF4"/>
    <w:rsid w:val="006F7278"/>
    <w:rsid w:val="007165B3"/>
    <w:rsid w:val="00766F87"/>
    <w:rsid w:val="0079292F"/>
    <w:rsid w:val="00794D49"/>
    <w:rsid w:val="007B7019"/>
    <w:rsid w:val="007E629A"/>
    <w:rsid w:val="00850C52"/>
    <w:rsid w:val="00874675"/>
    <w:rsid w:val="00893444"/>
    <w:rsid w:val="008A0955"/>
    <w:rsid w:val="008B5BD8"/>
    <w:rsid w:val="00907821"/>
    <w:rsid w:val="009515B0"/>
    <w:rsid w:val="00972664"/>
    <w:rsid w:val="00983A99"/>
    <w:rsid w:val="00A905E8"/>
    <w:rsid w:val="00AC07BC"/>
    <w:rsid w:val="00AD0866"/>
    <w:rsid w:val="00B15E9E"/>
    <w:rsid w:val="00B20518"/>
    <w:rsid w:val="00BA56E8"/>
    <w:rsid w:val="00BC47DE"/>
    <w:rsid w:val="00C02ABC"/>
    <w:rsid w:val="00C451E5"/>
    <w:rsid w:val="00C82D1C"/>
    <w:rsid w:val="00CA5BEB"/>
    <w:rsid w:val="00CC0E42"/>
    <w:rsid w:val="00D86FFE"/>
    <w:rsid w:val="00DB4B17"/>
    <w:rsid w:val="00DB6D3A"/>
    <w:rsid w:val="00DF6C68"/>
    <w:rsid w:val="00E10906"/>
    <w:rsid w:val="00F40DB9"/>
    <w:rsid w:val="00F92ED1"/>
    <w:rsid w:val="00F97D60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17F35"/>
  <w15:docId w15:val="{4C37B0C6-E0FF-FA44-BA1A-93E9445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C47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C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AB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2019-05-22T18:54:00Z</cp:lastPrinted>
  <dcterms:created xsi:type="dcterms:W3CDTF">2019-05-22T18:54:00Z</dcterms:created>
  <dcterms:modified xsi:type="dcterms:W3CDTF">2019-06-18T19:37:00Z</dcterms:modified>
</cp:coreProperties>
</file>