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tabs>
          <w:tab w:val="left" w:pos="720"/>
        </w:tabs>
        <w:spacing w:after="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GOVERNOR'S REGULATORY REVIEW COUNCIL</w:t>
      </w:r>
    </w:p>
    <w:p w:rsidR="00000000" w:rsidDel="00000000" w:rsidP="00000000" w:rsidRDefault="00000000" w:rsidRPr="00000000" w14:paraId="00000001">
      <w:pPr>
        <w:widowControl w:val="0"/>
        <w:spacing w:after="0" w:before="0"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NOTICE OF PUBLIC MEETING AND AGENDA – </w:t>
      </w:r>
      <w:r w:rsidDel="00000000" w:rsidR="00000000" w:rsidRPr="00000000">
        <w:rPr>
          <w:rFonts w:ascii="Times New Roman" w:cs="Times New Roman" w:eastAsia="Times New Roman" w:hAnsi="Times New Roman"/>
          <w:b w:val="1"/>
          <w:rtl w:val="0"/>
        </w:rPr>
        <w:t xml:space="preserve">July 10, 2018</w:t>
      </w:r>
      <w:r w:rsidDel="00000000" w:rsidR="00000000" w:rsidRPr="00000000">
        <w:rPr>
          <w:rtl w:val="0"/>
        </w:rPr>
      </w:r>
    </w:p>
    <w:p w:rsidR="00000000" w:rsidDel="00000000" w:rsidP="00000000" w:rsidRDefault="00000000" w:rsidRPr="00000000" w14:paraId="00000002">
      <w:pPr>
        <w:widowControl w:val="0"/>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widowControl w:val="0"/>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Pursuant to A.R.S. § 38-431.02, notice is hereby given to members of the Governor’s Regulatory Review Council (Council) and to the general public that the Council will hold a meeting, open to the public, on </w:t>
      </w:r>
      <w:r w:rsidDel="00000000" w:rsidR="00000000" w:rsidRPr="00000000">
        <w:rPr>
          <w:rFonts w:ascii="Times New Roman" w:cs="Times New Roman" w:eastAsia="Times New Roman" w:hAnsi="Times New Roman"/>
          <w:b w:val="1"/>
          <w:rtl w:val="0"/>
        </w:rPr>
        <w:t xml:space="preserve">Tuesday, July 10, 2018 at 10:00 a.m.</w:t>
      </w:r>
      <w:r w:rsidDel="00000000" w:rsidR="00000000" w:rsidRPr="00000000">
        <w:rPr>
          <w:rFonts w:ascii="Times New Roman" w:cs="Times New Roman" w:eastAsia="Times New Roman" w:hAnsi="Times New Roman"/>
          <w:rtl w:val="0"/>
        </w:rPr>
        <w:t xml:space="preserve"> at the </w:t>
      </w:r>
      <w:r w:rsidDel="00000000" w:rsidR="00000000" w:rsidRPr="00000000">
        <w:rPr>
          <w:rFonts w:ascii="Times New Roman" w:cs="Times New Roman" w:eastAsia="Times New Roman" w:hAnsi="Times New Roman"/>
          <w:b w:val="1"/>
          <w:rtl w:val="0"/>
        </w:rPr>
        <w:t xml:space="preserve">Arizona Department of Administration</w:t>
      </w:r>
      <w:r w:rsidDel="00000000" w:rsidR="00000000" w:rsidRPr="00000000">
        <w:rPr>
          <w:rFonts w:ascii="Times New Roman" w:cs="Times New Roman" w:eastAsia="Times New Roman" w:hAnsi="Times New Roman"/>
          <w:rtl w:val="0"/>
        </w:rPr>
        <w:t xml:space="preserve">, 100 N. 15th Avenue, Room 300, Phoenix, AZ. For more information, please call (602) 542-2058.  </w:t>
      </w:r>
    </w:p>
    <w:p w:rsidR="00000000" w:rsidDel="00000000" w:rsidP="00000000" w:rsidRDefault="00000000" w:rsidRPr="00000000" w14:paraId="00000004">
      <w:pPr>
        <w:widowControl w:val="0"/>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widowControl w:val="0"/>
        <w:tabs>
          <w:tab w:val="left" w:pos="540"/>
        </w:tabs>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Attention visitors (including agency personnel and members of the public)</w:t>
      </w:r>
      <w:r w:rsidDel="00000000" w:rsidR="00000000" w:rsidRPr="00000000">
        <w:rPr>
          <w:rFonts w:ascii="Times New Roman" w:cs="Times New Roman" w:eastAsia="Times New Roman" w:hAnsi="Times New Roman"/>
          <w:rtl w:val="0"/>
        </w:rPr>
        <w:t xml:space="preserve">: The Department of Administration has implemented building security measures at 100 N. 15th Avenue. All visitors who do not have a badge granting access to the building must go to the Badging Office on the first floor to be admitted as a guest. Please call (602) 542-2058 with any questions or concerns.</w:t>
        <w:br w:type="textWrapping"/>
      </w:r>
    </w:p>
    <w:p w:rsidR="00000000" w:rsidDel="00000000" w:rsidP="00000000" w:rsidRDefault="00000000" w:rsidRPr="00000000" w14:paraId="00000006">
      <w:pPr>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Persons with a disability may request a reasonable accommodation, such as a sign language interpreter, by calling (602) 542-2058. Requests should be made as early as possible to allow time to arrange the accommodation.</w:t>
      </w:r>
    </w:p>
    <w:p w:rsidR="00000000" w:rsidDel="00000000" w:rsidP="00000000" w:rsidRDefault="00000000" w:rsidRPr="00000000" w14:paraId="00000007">
      <w:pPr>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copy of the material provided to Council members (with the exception of material relating to possible executive sessions) is available for public inspection at the Council’s office, located at 100 N. 15th Avenue, Suite 305, Phoenix, AZ.</w:t>
      </w:r>
    </w:p>
    <w:p w:rsidR="00000000" w:rsidDel="00000000" w:rsidP="00000000" w:rsidRDefault="00000000" w:rsidRPr="00000000" w14:paraId="00000009">
      <w:pPr>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widowControl w:val="0"/>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 A.R.S. § 38-431.03(A)(3), the Council may vote to go into executive session, which will not be open to the public, for the purpose of obtaining legal advice on any item on the agenda.</w:t>
      </w:r>
    </w:p>
    <w:p w:rsidR="00000000" w:rsidDel="00000000" w:rsidP="00000000" w:rsidRDefault="00000000" w:rsidRPr="00000000" w14:paraId="0000000B">
      <w:pPr>
        <w:widowControl w:val="0"/>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widowControl w:val="0"/>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its discretion, the Council may consider and act upon any agenda item out of order. Members of the Council may appear by telephone. The agenda for the meeting (subject to change up to 24 hours before the meeting) is as follows: </w:t>
      </w:r>
    </w:p>
    <w:p w:rsidR="00000000" w:rsidDel="00000000" w:rsidP="00000000" w:rsidRDefault="00000000" w:rsidRPr="00000000" w14:paraId="0000000D">
      <w:pPr>
        <w:tabs>
          <w:tab w:val="left" w:pos="540"/>
        </w:tabs>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numPr>
          <w:ilvl w:val="0"/>
          <w:numId w:val="3"/>
        </w:numPr>
        <w:tabs>
          <w:tab w:val="left" w:pos="360"/>
        </w:tabs>
        <w:spacing w:after="0" w:before="0" w:line="240" w:lineRule="auto"/>
        <w:ind w:left="3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 TO ORDER AND PLEDGE OF ALLEGIANCE</w:t>
      </w:r>
    </w:p>
    <w:p w:rsidR="00000000" w:rsidDel="00000000" w:rsidP="00000000" w:rsidRDefault="00000000" w:rsidRPr="00000000" w14:paraId="0000000F">
      <w:pPr>
        <w:tabs>
          <w:tab w:val="left" w:pos="360"/>
          <w:tab w:val="left" w:pos="540"/>
        </w:tabs>
        <w:spacing w:after="0" w:before="0" w:line="240" w:lineRule="auto"/>
        <w:ind w:left="3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numPr>
          <w:ilvl w:val="0"/>
          <w:numId w:val="3"/>
        </w:numPr>
        <w:tabs>
          <w:tab w:val="left" w:pos="360"/>
          <w:tab w:val="left" w:pos="720"/>
        </w:tabs>
        <w:spacing w:after="0" w:before="0" w:line="240" w:lineRule="auto"/>
        <w:ind w:left="3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DISCLOSURE OF CONFLICTS OF INTEREST</w:t>
      </w:r>
    </w:p>
    <w:p w:rsidR="00000000" w:rsidDel="00000000" w:rsidP="00000000" w:rsidRDefault="00000000" w:rsidRPr="00000000" w14:paraId="00000011">
      <w:pPr>
        <w:tabs>
          <w:tab w:val="left" w:pos="360"/>
          <w:tab w:val="left" w:pos="720"/>
        </w:tabs>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numPr>
          <w:ilvl w:val="0"/>
          <w:numId w:val="3"/>
        </w:numPr>
        <w:tabs>
          <w:tab w:val="left" w:pos="360"/>
          <w:tab w:val="left" w:pos="720"/>
        </w:tabs>
        <w:spacing w:after="0" w:before="0" w:line="240" w:lineRule="auto"/>
        <w:ind w:left="3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CONSENT AGENDA ITEMS</w:t>
      </w:r>
    </w:p>
    <w:p w:rsidR="00000000" w:rsidDel="00000000" w:rsidP="00000000" w:rsidRDefault="00000000" w:rsidRPr="00000000" w14:paraId="00000013">
      <w:pPr>
        <w:tabs>
          <w:tab w:val="left" w:pos="360"/>
          <w:tab w:val="left" w:pos="720"/>
        </w:tabs>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contextualSpacing w:val="1"/>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Rules</w:t>
      </w:r>
    </w:p>
    <w:p w:rsidR="00000000" w:rsidDel="00000000" w:rsidP="00000000" w:rsidRDefault="00000000" w:rsidRPr="00000000" w14:paraId="00000015">
      <w:pPr>
        <w:tabs>
          <w:tab w:val="left" w:pos="360"/>
          <w:tab w:val="left" w:pos="720"/>
        </w:tabs>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numPr>
          <w:ilvl w:val="1"/>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10" w:hanging="360"/>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b w:val="1"/>
          <w:rtl w:val="0"/>
        </w:rPr>
        <w:t xml:space="preserve">DEPARTMENT OF PUBLIC SAFETY</w:t>
        <w:br w:type="textWrapping"/>
      </w:r>
      <w:r w:rsidDel="00000000" w:rsidR="00000000" w:rsidRPr="00000000">
        <w:rPr>
          <w:rFonts w:ascii="Times New Roman" w:cs="Times New Roman" w:eastAsia="Times New Roman" w:hAnsi="Times New Roman"/>
          <w:rtl w:val="0"/>
        </w:rPr>
        <w:t xml:space="preserve">Title 13, Chapter 13, Article 1, School Bus Minimum Standards</w:t>
      </w:r>
    </w:p>
    <w:p w:rsidR="00000000" w:rsidDel="00000000" w:rsidP="00000000" w:rsidRDefault="00000000" w:rsidRPr="00000000" w14:paraId="0000001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firstLine="18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Amend:</w:t>
        <w:tab/>
      </w:r>
      <w:r w:rsidDel="00000000" w:rsidR="00000000" w:rsidRPr="00000000">
        <w:rPr>
          <w:rFonts w:ascii="Times New Roman" w:cs="Times New Roman" w:eastAsia="Times New Roman" w:hAnsi="Times New Roman"/>
          <w:rtl w:val="0"/>
        </w:rPr>
        <w:t xml:space="preserve">R13-13-101; R13-13-102</w:t>
      </w:r>
    </w:p>
    <w:p w:rsidR="00000000" w:rsidDel="00000000" w:rsidP="00000000" w:rsidRDefault="00000000" w:rsidRPr="00000000" w14:paraId="0000001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firstLine="18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widowControl w:val="0"/>
        <w:numPr>
          <w:ilvl w:val="1"/>
          <w:numId w:val="1"/>
        </w:numPr>
        <w:tabs>
          <w:tab w:val="left" w:pos="360"/>
        </w:tabs>
        <w:spacing w:after="0" w:line="240" w:lineRule="auto"/>
        <w:ind w:left="810" w:hanging="360"/>
        <w:contextualSpacing w:val="1"/>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b w:val="1"/>
          <w:rtl w:val="0"/>
        </w:rPr>
        <w:t xml:space="preserve">DEPARTMENT OF PUBLIC SAFETY</w:t>
      </w:r>
    </w:p>
    <w:p w:rsidR="00000000" w:rsidDel="00000000" w:rsidP="00000000" w:rsidRDefault="00000000" w:rsidRPr="00000000" w14:paraId="0000001B">
      <w:pPr>
        <w:widowControl w:val="0"/>
        <w:tabs>
          <w:tab w:val="left" w:pos="900"/>
        </w:tabs>
        <w:spacing w:after="0" w:line="240" w:lineRule="auto"/>
        <w:ind w:left="720" w:firstLine="18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13, Chapter 13, Article 1, School Bus Minimum Standards</w:t>
      </w:r>
    </w:p>
    <w:p w:rsidR="00000000" w:rsidDel="00000000" w:rsidP="00000000" w:rsidRDefault="00000000" w:rsidRPr="00000000" w14:paraId="0000001C">
      <w:pPr>
        <w:widowControl w:val="0"/>
        <w:tabs>
          <w:tab w:val="left" w:pos="360"/>
        </w:tabs>
        <w:spacing w:after="0" w:line="240" w:lineRule="auto"/>
        <w:ind w:left="144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widowControl w:val="0"/>
        <w:tabs>
          <w:tab w:val="left" w:pos="900"/>
        </w:tabs>
        <w:spacing w:after="0" w:line="240" w:lineRule="auto"/>
        <w:ind w:left="900" w:hanging="54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Amend: </w:t>
        <w:tab/>
      </w:r>
      <w:r w:rsidDel="00000000" w:rsidR="00000000" w:rsidRPr="00000000">
        <w:rPr>
          <w:rFonts w:ascii="Times New Roman" w:cs="Times New Roman" w:eastAsia="Times New Roman" w:hAnsi="Times New Roman"/>
          <w:rtl w:val="0"/>
        </w:rPr>
        <w:t xml:space="preserve">R13-13-106</w:t>
      </w:r>
    </w:p>
    <w:p w:rsidR="00000000" w:rsidDel="00000000" w:rsidP="00000000" w:rsidRDefault="00000000" w:rsidRPr="00000000" w14:paraId="000000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ab/>
      </w:r>
      <w:r w:rsidDel="00000000" w:rsidR="00000000" w:rsidRPr="00000000">
        <w:rPr>
          <w:rtl w:val="0"/>
        </w:rPr>
      </w:r>
    </w:p>
    <w:p w:rsidR="00000000" w:rsidDel="00000000" w:rsidP="00000000" w:rsidRDefault="00000000" w:rsidRPr="00000000" w14:paraId="0000001F">
      <w:pPr>
        <w:numPr>
          <w:ilvl w:val="1"/>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10" w:hanging="360"/>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b w:val="1"/>
          <w:rtl w:val="0"/>
        </w:rPr>
        <w:t xml:space="preserve">INDUSTRIAL COMMISSION</w:t>
        <w:br w:type="textWrapping"/>
      </w:r>
      <w:r w:rsidDel="00000000" w:rsidR="00000000" w:rsidRPr="00000000">
        <w:rPr>
          <w:rFonts w:ascii="Times New Roman" w:cs="Times New Roman" w:eastAsia="Times New Roman" w:hAnsi="Times New Roman"/>
          <w:rtl w:val="0"/>
        </w:rPr>
        <w:t xml:space="preserve">Title 20, Chapter 5, Article 1, Workers’ Compensation Practice and Procedure; Article 13, Treatment Guidelines</w:t>
      </w:r>
    </w:p>
    <w:p w:rsidR="00000000" w:rsidDel="00000000" w:rsidP="00000000" w:rsidRDefault="00000000" w:rsidRPr="00000000" w14:paraId="0000002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Amend</w:t>
      </w:r>
      <w:r w:rsidDel="00000000" w:rsidR="00000000" w:rsidRPr="00000000">
        <w:rPr>
          <w:rFonts w:ascii="Times New Roman" w:cs="Times New Roman" w:eastAsia="Times New Roman" w:hAnsi="Times New Roman"/>
          <w:rtl w:val="0"/>
        </w:rPr>
        <w:t xml:space="preserve">:</w:t>
        <w:tab/>
        <w:t xml:space="preserve">R20-5-106; R20-5-1301; R20-5-1302; R20-5-1303; R20-5-1309; R20-5-1310; </w:t>
        <w:tab/>
        <w:tab/>
        <w:tab/>
        <w:t xml:space="preserve">R20-5-1311</w:t>
      </w:r>
    </w:p>
    <w:p w:rsidR="00000000" w:rsidDel="00000000" w:rsidP="00000000" w:rsidRDefault="00000000" w:rsidRPr="00000000" w14:paraId="0000002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numPr>
          <w:ilvl w:val="1"/>
          <w:numId w:val="1"/>
        </w:numPr>
        <w:tabs>
          <w:tab w:val="left" w:pos="900"/>
        </w:tabs>
        <w:spacing w:after="0" w:line="240" w:lineRule="auto"/>
        <w:ind w:left="810" w:hanging="360"/>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b w:val="1"/>
          <w:rtl w:val="0"/>
        </w:rPr>
        <w:t xml:space="preserve">DEPARTMENT OF HEALTH SERVICES</w:t>
      </w:r>
    </w:p>
    <w:p w:rsidR="00000000" w:rsidDel="00000000" w:rsidP="00000000" w:rsidRDefault="00000000" w:rsidRPr="00000000" w14:paraId="00000024">
      <w:pPr>
        <w:pBdr>
          <w:top w:color="auto" w:space="0" w:sz="0" w:val="none"/>
          <w:left w:color="auto" w:space="-72" w:sz="0" w:val="none"/>
          <w:bottom w:color="auto" w:space="0" w:sz="0" w:val="none"/>
          <w:right w:color="auto" w:space="0" w:sz="0" w:val="none"/>
          <w:between w:color="auto" w:space="0" w:sz="0" w:val="none"/>
        </w:pBdr>
        <w:shd w:fill="ffffff" w:val="clear"/>
        <w:spacing w:after="0" w:line="240" w:lineRule="auto"/>
        <w:ind w:left="90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Title 9, Chapter 7, Article 1, General Provisions; Article 3, Radioactive Material Licensing; Article 4, Standards for Protection against Ionizing Radiation; Article 6, Use of X-Rays in the Healing Arts; Article 7, Medical Uses of Radioactive Material; Article 10, Notices, Instructions, and Reports to Radiation Workers, Inspections; Article 15, Transportation; Article 19, Physical Protection for Category 1 and Category 2 Quantities of Radioactive Material </w:t>
      </w:r>
      <w:r w:rsidDel="00000000" w:rsidR="00000000" w:rsidRPr="00000000">
        <w:rPr>
          <w:rtl w:val="0"/>
        </w:rPr>
      </w:r>
    </w:p>
    <w:p w:rsidR="00000000" w:rsidDel="00000000" w:rsidP="00000000" w:rsidRDefault="00000000" w:rsidRPr="00000000" w14:paraId="00000025">
      <w:pPr>
        <w:pBdr>
          <w:top w:color="auto" w:space="0" w:sz="0" w:val="none"/>
          <w:left w:color="auto" w:space="-72" w:sz="0" w:val="none"/>
          <w:bottom w:color="auto" w:space="0" w:sz="0" w:val="none"/>
          <w:right w:color="auto" w:space="0" w:sz="0" w:val="none"/>
          <w:between w:color="auto" w:space="0" w:sz="0" w:val="none"/>
        </w:pBdr>
        <w:shd w:fill="ffffff" w:val="clear"/>
        <w:spacing w:after="0" w:line="240" w:lineRule="auto"/>
        <w:ind w:left="90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pBdr>
          <w:top w:color="auto" w:space="0" w:sz="0" w:val="none"/>
          <w:left w:color="auto" w:space="-72" w:sz="0" w:val="none"/>
          <w:bottom w:color="auto" w:space="0" w:sz="0" w:val="none"/>
          <w:right w:color="auto" w:space="0" w:sz="0" w:val="none"/>
          <w:between w:color="auto" w:space="0" w:sz="0" w:val="none"/>
        </w:pBdr>
        <w:shd w:fill="ffffff" w:val="clear"/>
        <w:spacing w:after="0" w:line="240" w:lineRule="auto"/>
        <w:ind w:left="900" w:firstLine="0"/>
        <w:contextualSpacing w:val="0"/>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rtl w:val="0"/>
        </w:rPr>
        <w:t xml:space="preserve">Amend:</w:t>
      </w:r>
      <w:r w:rsidDel="00000000" w:rsidR="00000000" w:rsidRPr="00000000">
        <w:rPr>
          <w:rFonts w:ascii="Times New Roman" w:cs="Times New Roman" w:eastAsia="Times New Roman" w:hAnsi="Times New Roman"/>
          <w:rtl w:val="0"/>
        </w:rPr>
        <w:tab/>
        <w:t xml:space="preserve">R9-7-102; R9-7-103; R9-7-302; R9-7-303; R9-7-304; R9-7-305; R9-7-306; </w:t>
        <w:tab/>
        <w:tab/>
        <w:tab/>
        <w:t xml:space="preserve">R9-7-311; R9-7-313; R9-7-323; R9-7-408; R9-7-415; R9-7-417; R9-7-418; </w:t>
        <w:tab/>
        <w:tab/>
        <w:tab/>
        <w:t xml:space="preserve">R9-7-419; R9-7-448; R9-7-451; Appendix C; R9-7-611.01; R9-7-613; R9-7-710;</w:t>
        <w:tab/>
        <w:tab/>
        <w:tab/>
        <w:t xml:space="preserve">R9-7-711; R9-7-719; R9-7-721; Exhibit A; R9-7-1006; R9-7-1507; R9-7-1508; </w:t>
        <w:tab/>
        <w:tab/>
        <w:tab/>
        <w:t xml:space="preserve">R9-7-1510; R9-7-1512; R9-7-1515; R9-7-1927; R9-7-1943; R9-7-1975; </w:t>
        <w:tab/>
        <w:tab/>
        <w:tab/>
        <w:tab/>
        <w:t xml:space="preserve">R9-7-1977; R9-7-19101</w:t>
        <w:tab/>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4" w:right="0" w:hanging="72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contextualSpacing w:val="1"/>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Five-Year-Review Reports:</w:t>
      </w:r>
    </w:p>
    <w:p w:rsidR="00000000" w:rsidDel="00000000" w:rsidP="00000000" w:rsidRDefault="00000000" w:rsidRPr="00000000" w14:paraId="00000029">
      <w:pPr>
        <w:widowControl w:val="0"/>
        <w:tabs>
          <w:tab w:val="left" w:pos="360"/>
          <w:tab w:val="left" w:pos="990"/>
        </w:tabs>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numPr>
          <w:ilvl w:val="1"/>
          <w:numId w:val="2"/>
        </w:numPr>
        <w:spacing w:after="0" w:line="240" w:lineRule="auto"/>
        <w:ind w:left="810" w:hanging="360"/>
        <w:contextualSpacing w:val="1"/>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rtl w:val="0"/>
        </w:rPr>
        <w:t xml:space="preserve">DEPARTMENT OF HEALTH SERVICES</w:t>
      </w:r>
    </w:p>
    <w:p w:rsidR="00000000" w:rsidDel="00000000" w:rsidP="00000000" w:rsidRDefault="00000000" w:rsidRPr="00000000" w14:paraId="0000002B">
      <w:pPr>
        <w:spacing w:after="0" w:line="240" w:lineRule="auto"/>
        <w:ind w:left="720" w:firstLine="18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12, Chapter 1, Article 3, Radioactive Material Licensing</w:t>
      </w:r>
    </w:p>
    <w:p w:rsidR="00000000" w:rsidDel="00000000" w:rsidP="00000000" w:rsidRDefault="00000000" w:rsidRPr="00000000" w14:paraId="0000002C">
      <w:pPr>
        <w:spacing w:after="0" w:line="240" w:lineRule="auto"/>
        <w:ind w:left="720" w:firstLine="18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numPr>
          <w:ilvl w:val="1"/>
          <w:numId w:val="2"/>
        </w:numPr>
        <w:spacing w:after="0" w:line="240" w:lineRule="auto"/>
        <w:ind w:left="810" w:hanging="360"/>
        <w:contextualSpacing w:val="1"/>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rtl w:val="0"/>
        </w:rPr>
        <w:t xml:space="preserve">DEPARTMENT OF TRANSPORTATION</w:t>
      </w:r>
    </w:p>
    <w:p w:rsidR="00000000" w:rsidDel="00000000" w:rsidP="00000000" w:rsidRDefault="00000000" w:rsidRPr="00000000" w14:paraId="0000002E">
      <w:pPr>
        <w:spacing w:after="0" w:line="240" w:lineRule="auto"/>
        <w:ind w:left="9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17, Chapter 6, Article 1, General Provisions; Article 2, Special Permit Classes and Fees; Article 3, Safety Requirements; Article 4, Transport Provisions; Article 5, Envelope Permit Special Provisions</w:t>
      </w:r>
    </w:p>
    <w:p w:rsidR="00000000" w:rsidDel="00000000" w:rsidP="00000000" w:rsidRDefault="00000000" w:rsidRPr="00000000" w14:paraId="0000002F">
      <w:pPr>
        <w:spacing w:after="0" w:line="240" w:lineRule="auto"/>
        <w:ind w:left="90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numPr>
          <w:ilvl w:val="1"/>
          <w:numId w:val="2"/>
        </w:numPr>
        <w:spacing w:after="0" w:line="240" w:lineRule="auto"/>
        <w:ind w:left="810" w:hanging="360"/>
        <w:contextualSpacing w:val="1"/>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rtl w:val="0"/>
        </w:rPr>
        <w:t xml:space="preserve">DEPARTMENT OF INSURANCE</w:t>
      </w:r>
    </w:p>
    <w:p w:rsidR="00000000" w:rsidDel="00000000" w:rsidP="00000000" w:rsidRDefault="00000000" w:rsidRPr="00000000" w14:paraId="00000031">
      <w:pPr>
        <w:spacing w:after="0" w:line="240" w:lineRule="auto"/>
        <w:ind w:left="9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20, Chapter 6, Article 7, Licensing Provisions and Procedures; Article 8, Prohibited Practices, Penalties; Article 10, Long-Term Care Insurance; Article 12, HIV/AIDS: Prohibited and Required Practices; Article 14, Insurance Holding Company; Article 16, Credit for Reinsurance; Article 17, Examinations; Article 22, Military Personnel</w:t>
      </w:r>
    </w:p>
    <w:p w:rsidR="00000000" w:rsidDel="00000000" w:rsidP="00000000" w:rsidRDefault="00000000" w:rsidRPr="00000000" w14:paraId="00000032">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numPr>
          <w:ilvl w:val="1"/>
          <w:numId w:val="2"/>
        </w:numPr>
        <w:spacing w:after="0" w:line="240" w:lineRule="auto"/>
        <w:ind w:left="810" w:hanging="360"/>
        <w:contextualSpacing w:val="1"/>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rtl w:val="0"/>
        </w:rPr>
        <w:t xml:space="preserve">CRIMINAL JUSTICE COMMISSION</w:t>
      </w:r>
    </w:p>
    <w:p w:rsidR="00000000" w:rsidDel="00000000" w:rsidP="00000000" w:rsidRDefault="00000000" w:rsidRPr="00000000" w14:paraId="00000034">
      <w:pPr>
        <w:spacing w:after="0" w:line="240" w:lineRule="auto"/>
        <w:ind w:left="9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10, Chapter 4, Article 1, Crime Victim Compensation Program</w:t>
      </w:r>
    </w:p>
    <w:p w:rsidR="00000000" w:rsidDel="00000000" w:rsidP="00000000" w:rsidRDefault="00000000" w:rsidRPr="00000000" w14:paraId="00000035">
      <w:pPr>
        <w:spacing w:after="0" w:line="240" w:lineRule="auto"/>
        <w:ind w:left="90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numPr>
          <w:ilvl w:val="1"/>
          <w:numId w:val="2"/>
        </w:numPr>
        <w:spacing w:after="0" w:line="240" w:lineRule="auto"/>
        <w:ind w:left="810" w:hanging="360"/>
        <w:contextualSpacing w:val="1"/>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rtl w:val="0"/>
        </w:rPr>
        <w:t xml:space="preserve">DEPARTMENT OF HEALTH SERVICES</w:t>
      </w:r>
    </w:p>
    <w:p w:rsidR="00000000" w:rsidDel="00000000" w:rsidP="00000000" w:rsidRDefault="00000000" w:rsidRPr="00000000" w14:paraId="00000037">
      <w:pPr>
        <w:spacing w:after="0" w:line="240" w:lineRule="auto"/>
        <w:ind w:left="720" w:firstLine="18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9, Chapter 10, Article 1, General </w:t>
      </w:r>
    </w:p>
    <w:p w:rsidR="00000000" w:rsidDel="00000000" w:rsidP="00000000" w:rsidRDefault="00000000" w:rsidRPr="00000000" w14:paraId="00000038">
      <w:pPr>
        <w:spacing w:after="0" w:line="240" w:lineRule="auto"/>
        <w:ind w:left="720" w:firstLine="18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numPr>
          <w:ilvl w:val="1"/>
          <w:numId w:val="2"/>
        </w:numPr>
        <w:spacing w:after="0" w:line="240" w:lineRule="auto"/>
        <w:ind w:left="810" w:hanging="360"/>
        <w:contextualSpacing w:val="1"/>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rtl w:val="0"/>
        </w:rPr>
        <w:t xml:space="preserve">DEPARTMENT OF HEALTH SERVICES</w:t>
      </w:r>
    </w:p>
    <w:p w:rsidR="00000000" w:rsidDel="00000000" w:rsidP="00000000" w:rsidRDefault="00000000" w:rsidRPr="00000000" w14:paraId="0000003A">
      <w:pPr>
        <w:spacing w:after="0" w:line="240" w:lineRule="auto"/>
        <w:ind w:left="720" w:firstLine="18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9, Chapter 10, Article 3, Behavioral Health Inpatient Facilities</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numPr>
          <w:ilvl w:val="0"/>
          <w:numId w:val="3"/>
        </w:numPr>
        <w:spacing w:after="0" w:line="240" w:lineRule="auto"/>
        <w:ind w:left="3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CONSIDERATION AND DISCUSSION OF RULES</w:t>
        <w:tab/>
      </w:r>
    </w:p>
    <w:p w:rsidR="00000000" w:rsidDel="00000000" w:rsidP="00000000" w:rsidRDefault="00000000" w:rsidRPr="00000000" w14:paraId="0000003F">
      <w:pPr>
        <w:tabs>
          <w:tab w:val="left" w:pos="540"/>
          <w:tab w:val="left" w:pos="720"/>
        </w:tabs>
        <w:spacing w:after="0" w:before="0" w:line="240" w:lineRule="auto"/>
        <w:ind w:left="360" w:hanging="3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40"/>
          <w:tab w:val="left" w:pos="720"/>
        </w:tabs>
        <w:spacing w:after="0" w:before="0" w:line="240" w:lineRule="auto"/>
        <w:ind w:left="360" w:right="0" w:hanging="360"/>
        <w:contextualSpacing w:val="1"/>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CONSIDERATION AND DISCUSSION OF FIVE-YEAR REVIEW REPORTS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720"/>
        </w:tabs>
        <w:spacing w:after="0" w:before="0" w:line="240" w:lineRule="auto"/>
        <w:ind w:right="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810"/>
        </w:tabs>
        <w:spacing w:after="0" w:before="0" w:line="240" w:lineRule="auto"/>
        <w:ind w:right="0" w:firstLine="81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DEPARTMENT OF ADMINISTRATION</w:t>
      </w:r>
    </w:p>
    <w:p w:rsidR="00000000" w:rsidDel="00000000" w:rsidP="00000000" w:rsidRDefault="00000000" w:rsidRPr="00000000" w14:paraId="00000043">
      <w:pPr>
        <w:spacing w:after="0" w:line="240" w:lineRule="auto"/>
        <w:ind w:left="81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2, Chapter 5, Subchapter A, Covered and Uncovered Employees; Subchapter B, Covered Employees</w:t>
      </w:r>
      <w:r w:rsidDel="00000000" w:rsidR="00000000" w:rsidRPr="00000000">
        <w:rPr>
          <w:rtl w:val="0"/>
        </w:rPr>
      </w:r>
    </w:p>
    <w:p w:rsidR="00000000" w:rsidDel="00000000" w:rsidP="00000000" w:rsidRDefault="00000000" w:rsidRPr="00000000" w14:paraId="00000044">
      <w:pPr>
        <w:tabs>
          <w:tab w:val="left" w:pos="720"/>
        </w:tabs>
        <w:spacing w:after="0" w:line="240" w:lineRule="auto"/>
        <w:ind w:left="360" w:hanging="3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CONSIDERATION AND DISCUSSION OF THE REVIEW OF RULES OUTSIDE OF THE FIVE-YEAR REVIEW PROCESS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DEPARTMENT OF REVENUE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R15-2E-101: Feeder Organization Not Exempt from Tax</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R15-2E-201: Denial of Exemption</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R15-2E-202: Determination of Reasonable Accumulation of Income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R15-2E-203: Procedure to Recover Exempt Status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R15-2E-301: Returns of Tax-exempt Status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CONSIDERATION AND DISCUSSION OF FIVE-YEAR REVIEW REPORT DUE DATE EXTENSION REQUESTS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BOARD OF ACCOUNTANCY</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Title 4, Chapter 1</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DEPARTMENT OF ADMINISTRATION</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firstLine="72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2, Chapter 18</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contextualSpacing w:val="1"/>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DISCUSSION OF THE COUNCIL</w:t>
      </w:r>
      <w:r w:rsidDel="00000000" w:rsidR="00000000" w:rsidRPr="00000000">
        <w:rPr>
          <w:rFonts w:ascii="Times New Roman" w:cs="Times New Roman" w:eastAsia="Times New Roman" w:hAnsi="Times New Roman"/>
          <w:rtl w:val="0"/>
        </w:rPr>
        <w:t xml:space="preserve">’S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PROPOSED RULE</w:t>
      </w:r>
      <w:r w:rsidDel="00000000" w:rsidR="00000000" w:rsidRPr="00000000">
        <w:rPr>
          <w:rFonts w:ascii="Times New Roman" w:cs="Times New Roman" w:eastAsia="Times New Roman" w:hAnsi="Times New Roman"/>
          <w:rtl w:val="0"/>
        </w:rPr>
        <w:t xml:space="preserve">MAKING</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right="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contextualSpacing w:val="1"/>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ISCUSSION OF </w:t>
      </w: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ARIZONA ADVOCACY NETWORK, ET AL. V. STATE OF ARIZONA, ET AL.</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contextualSpacing w:val="1"/>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ADJOURNMENT</w:t>
      </w:r>
    </w:p>
    <w:sectPr>
      <w:headerReference r:id="rId6" w:type="default"/>
      <w:headerReference r:id="rId7" w:type="first"/>
      <w:headerReference r:id="rId8" w:type="even"/>
      <w:footerReference r:id="rId9"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Page </w:t>
    </w:r>
    <w:r w:rsidDel="00000000" w:rsidR="00000000" w:rsidRPr="00000000">
      <w:rPr>
        <w:rFonts w:ascii="Times New Roman" w:cs="Times New Roman" w:eastAsia="Times New Roman" w:hAnsi="Times New Roman"/>
        <w:b w:val="1"/>
        <w:sz w:val="20"/>
        <w:szCs w:val="2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sz w:val="20"/>
        <w:szCs w:val="20"/>
        <w:rtl w:val="0"/>
      </w:rPr>
      <w:t xml:space="preserve"> -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Governor’s Regulatory Review Council</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Notice of Public Meeting and Agenda for </w:t>
    </w:r>
    <w:r w:rsidDel="00000000" w:rsidR="00000000" w:rsidRPr="00000000">
      <w:rPr>
        <w:rFonts w:ascii="Times New Roman" w:cs="Times New Roman" w:eastAsia="Times New Roman" w:hAnsi="Times New Roman"/>
        <w:b w:val="1"/>
        <w:sz w:val="20"/>
        <w:szCs w:val="20"/>
        <w:rtl w:val="0"/>
      </w:rPr>
      <w:t xml:space="preserve">July 10,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2018 Council Meeting</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Page 2 - Governor’s Regulatory Review Council</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Notice of Public Meeting and Agenda for April 3, 2018 Council Meeting</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contextualSpacing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decimal"/>
      <w:lvlText w:val="%1.%2"/>
      <w:lvlJc w:val="left"/>
      <w:pPr>
        <w:ind w:left="810" w:hanging="360"/>
      </w:pPr>
      <w:rPr>
        <w:b w:val="1"/>
      </w:rPr>
    </w:lvl>
    <w:lvl w:ilvl="2">
      <w:start w:val="1"/>
      <w:numFmt w:val="decimal"/>
      <w:lvlText w:val="%1.%2.%3"/>
      <w:lvlJc w:val="left"/>
      <w:pPr>
        <w:ind w:left="1620" w:hanging="720"/>
      </w:pPr>
      <w:rPr>
        <w:b w:val="1"/>
      </w:rPr>
    </w:lvl>
    <w:lvl w:ilvl="3">
      <w:start w:val="1"/>
      <w:numFmt w:val="decimal"/>
      <w:lvlText w:val="%1.%2.%3.%4"/>
      <w:lvlJc w:val="left"/>
      <w:pPr>
        <w:ind w:left="2070" w:hanging="720"/>
      </w:pPr>
      <w:rPr>
        <w:b w:val="1"/>
      </w:rPr>
    </w:lvl>
    <w:lvl w:ilvl="4">
      <w:start w:val="1"/>
      <w:numFmt w:val="decimal"/>
      <w:lvlText w:val="%1.%2.%3.%4.%5"/>
      <w:lvlJc w:val="left"/>
      <w:pPr>
        <w:ind w:left="2880" w:hanging="1080"/>
      </w:pPr>
      <w:rPr>
        <w:b w:val="1"/>
      </w:rPr>
    </w:lvl>
    <w:lvl w:ilvl="5">
      <w:start w:val="1"/>
      <w:numFmt w:val="decimal"/>
      <w:lvlText w:val="%1.%2.%3.%4.%5.%6"/>
      <w:lvlJc w:val="left"/>
      <w:pPr>
        <w:ind w:left="3330" w:hanging="1080"/>
      </w:pPr>
      <w:rPr>
        <w:b w:val="1"/>
      </w:rPr>
    </w:lvl>
    <w:lvl w:ilvl="6">
      <w:start w:val="1"/>
      <w:numFmt w:val="decimal"/>
      <w:lvlText w:val="%1.%2.%3.%4.%5.%6.%7"/>
      <w:lvlJc w:val="left"/>
      <w:pPr>
        <w:ind w:left="4140" w:hanging="1440"/>
      </w:pPr>
      <w:rPr>
        <w:b w:val="1"/>
      </w:rPr>
    </w:lvl>
    <w:lvl w:ilvl="7">
      <w:start w:val="1"/>
      <w:numFmt w:val="decimal"/>
      <w:lvlText w:val="%1.%2.%3.%4.%5.%6.%7.%8"/>
      <w:lvlJc w:val="left"/>
      <w:pPr>
        <w:ind w:left="4590" w:hanging="1440"/>
      </w:pPr>
      <w:rPr>
        <w:b w:val="1"/>
      </w:rPr>
    </w:lvl>
    <w:lvl w:ilvl="8">
      <w:start w:val="1"/>
      <w:numFmt w:val="decimal"/>
      <w:lvlText w:val="%1.%2.%3.%4.%5.%6.%7.%8.%9"/>
      <w:lvlJc w:val="left"/>
      <w:pPr>
        <w:ind w:left="5040" w:hanging="1440"/>
      </w:pPr>
      <w:rPr>
        <w:b w:val="1"/>
      </w:rPr>
    </w:lvl>
  </w:abstractNum>
  <w:abstractNum w:abstractNumId="2">
    <w:lvl w:ilvl="0">
      <w:start w:val="1"/>
      <w:numFmt w:val="decimal"/>
      <w:lvlText w:val="%1."/>
      <w:lvlJc w:val="left"/>
      <w:pPr>
        <w:ind w:left="720" w:hanging="360"/>
      </w:pPr>
      <w:rPr>
        <w:b w:val="1"/>
      </w:rPr>
    </w:lvl>
    <w:lvl w:ilvl="1">
      <w:start w:val="1"/>
      <w:numFmt w:val="decimal"/>
      <w:lvlText w:val="%1.%2"/>
      <w:lvlJc w:val="left"/>
      <w:pPr>
        <w:ind w:left="810" w:hanging="360"/>
      </w:pPr>
      <w:rPr/>
    </w:lvl>
    <w:lvl w:ilvl="2">
      <w:start w:val="1"/>
      <w:numFmt w:val="decimal"/>
      <w:lvlText w:val="%1.%2.%3"/>
      <w:lvlJc w:val="left"/>
      <w:pPr>
        <w:ind w:left="1260" w:hanging="720"/>
      </w:pPr>
      <w:rPr/>
    </w:lvl>
    <w:lvl w:ilvl="3">
      <w:start w:val="1"/>
      <w:numFmt w:val="decimal"/>
      <w:lvlText w:val="%1.%2.%3.%4"/>
      <w:lvlJc w:val="left"/>
      <w:pPr>
        <w:ind w:left="1350" w:hanging="720"/>
      </w:pPr>
      <w:rPr/>
    </w:lvl>
    <w:lvl w:ilvl="4">
      <w:start w:val="1"/>
      <w:numFmt w:val="decimal"/>
      <w:lvlText w:val="%1.%2.%3.%4.%5"/>
      <w:lvlJc w:val="left"/>
      <w:pPr>
        <w:ind w:left="1800" w:hanging="1080"/>
      </w:pPr>
      <w:rPr/>
    </w:lvl>
    <w:lvl w:ilvl="5">
      <w:start w:val="1"/>
      <w:numFmt w:val="decimal"/>
      <w:lvlText w:val="%1.%2.%3.%4.%5.%6"/>
      <w:lvlJc w:val="left"/>
      <w:pPr>
        <w:ind w:left="1890" w:hanging="1080"/>
      </w:pPr>
      <w:rPr/>
    </w:lvl>
    <w:lvl w:ilvl="6">
      <w:start w:val="1"/>
      <w:numFmt w:val="decimal"/>
      <w:lvlText w:val="%1.%2.%3.%4.%5.%6.%7"/>
      <w:lvlJc w:val="left"/>
      <w:pPr>
        <w:ind w:left="2340" w:hanging="1440"/>
      </w:pPr>
      <w:rPr/>
    </w:lvl>
    <w:lvl w:ilvl="7">
      <w:start w:val="1"/>
      <w:numFmt w:val="decimal"/>
      <w:lvlText w:val="%1.%2.%3.%4.%5.%6.%7.%8"/>
      <w:lvlJc w:val="left"/>
      <w:pPr>
        <w:ind w:left="2430" w:hanging="1440"/>
      </w:pPr>
      <w:rPr/>
    </w:lvl>
    <w:lvl w:ilvl="8">
      <w:start w:val="1"/>
      <w:numFmt w:val="decimal"/>
      <w:lvlText w:val="%1.%2.%3.%4.%5.%6.%7.%8.%9"/>
      <w:lvlJc w:val="left"/>
      <w:pPr>
        <w:ind w:left="2520" w:hanging="1440"/>
      </w:pPr>
      <w:rPr/>
    </w:lvl>
  </w:abstractNum>
  <w:abstractNum w:abstractNumId="3">
    <w:lvl w:ilvl="0">
      <w:start w:val="1"/>
      <w:numFmt w:val="upperLetter"/>
      <w:lvlText w:val="%1."/>
      <w:lvlJc w:val="left"/>
      <w:pPr>
        <w:ind w:left="720" w:hanging="360"/>
      </w:pPr>
      <w:rPr>
        <w:b w:val="1"/>
      </w:rPr>
    </w:lvl>
    <w:lvl w:ilvl="1">
      <w:start w:val="1"/>
      <w:numFmt w:val="lowerLetter"/>
      <w:lvlText w:val="%2."/>
      <w:lvlJc w:val="left"/>
      <w:pPr>
        <w:ind w:left="1580" w:hanging="360"/>
      </w:pPr>
      <w:rPr/>
    </w:lvl>
    <w:lvl w:ilvl="2">
      <w:start w:val="1"/>
      <w:numFmt w:val="lowerRoman"/>
      <w:lvlText w:val="%3."/>
      <w:lvlJc w:val="right"/>
      <w:pPr>
        <w:ind w:left="2300" w:hanging="180"/>
      </w:pPr>
      <w:rPr/>
    </w:lvl>
    <w:lvl w:ilvl="3">
      <w:start w:val="1"/>
      <w:numFmt w:val="decimal"/>
      <w:lvlText w:val="%4."/>
      <w:lvlJc w:val="left"/>
      <w:pPr>
        <w:ind w:left="3020" w:hanging="360"/>
      </w:pPr>
      <w:rPr/>
    </w:lvl>
    <w:lvl w:ilvl="4">
      <w:start w:val="1"/>
      <w:numFmt w:val="lowerLetter"/>
      <w:lvlText w:val="%5."/>
      <w:lvlJc w:val="left"/>
      <w:pPr>
        <w:ind w:left="3740" w:hanging="360"/>
      </w:pPr>
      <w:rPr/>
    </w:lvl>
    <w:lvl w:ilvl="5">
      <w:start w:val="1"/>
      <w:numFmt w:val="lowerRoman"/>
      <w:lvlText w:val="%6."/>
      <w:lvlJc w:val="right"/>
      <w:pPr>
        <w:ind w:left="4460" w:hanging="180"/>
      </w:pPr>
      <w:rPr/>
    </w:lvl>
    <w:lvl w:ilvl="6">
      <w:start w:val="1"/>
      <w:numFmt w:val="decimal"/>
      <w:lvlText w:val="%7."/>
      <w:lvlJc w:val="left"/>
      <w:pPr>
        <w:ind w:left="5180" w:hanging="360"/>
      </w:pPr>
      <w:rPr/>
    </w:lvl>
    <w:lvl w:ilvl="7">
      <w:start w:val="1"/>
      <w:numFmt w:val="lowerLetter"/>
      <w:lvlText w:val="%8."/>
      <w:lvlJc w:val="left"/>
      <w:pPr>
        <w:ind w:left="5900" w:hanging="360"/>
      </w:pPr>
      <w:rPr/>
    </w:lvl>
    <w:lvl w:ilvl="8">
      <w:start w:val="1"/>
      <w:numFmt w:val="lowerRoman"/>
      <w:lvlText w:val="%9."/>
      <w:lvlJc w:val="right"/>
      <w:pPr>
        <w:ind w:left="662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