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81" w:rsidRPr="00A05634" w:rsidRDefault="00126381" w:rsidP="00A05634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GOVERNOR'S REGULATORY REVIEW COUNCIL</w:t>
      </w: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>NOTICE OF PUBLIC MEETING AND AGENDA</w:t>
      </w:r>
    </w:p>
    <w:p w:rsidR="00126381" w:rsidRPr="00A05634" w:rsidRDefault="007E7EA0" w:rsidP="00A0563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Ju</w:t>
      </w:r>
      <w:r w:rsidR="00133253">
        <w:rPr>
          <w:rFonts w:ascii="Times New Roman" w:hAnsi="Times New Roman"/>
          <w:b/>
          <w:sz w:val="22"/>
          <w:szCs w:val="22"/>
        </w:rPr>
        <w:t>ly</w:t>
      </w:r>
      <w:r w:rsidRPr="00A05634">
        <w:rPr>
          <w:rFonts w:ascii="Times New Roman" w:hAnsi="Times New Roman"/>
          <w:b/>
          <w:sz w:val="22"/>
          <w:szCs w:val="22"/>
        </w:rPr>
        <w:t xml:space="preserve"> 6</w:t>
      </w:r>
      <w:r w:rsidR="00126381" w:rsidRPr="00A05634">
        <w:rPr>
          <w:rFonts w:ascii="Times New Roman" w:hAnsi="Times New Roman"/>
          <w:b/>
          <w:sz w:val="22"/>
          <w:szCs w:val="22"/>
        </w:rPr>
        <w:t>, 2017</w:t>
      </w: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 xml:space="preserve">Pursuant to A.R.S. § 38-431.02, notice is hereby given to members of the Governor’s Regulatory Review Council (Council) and to the </w:t>
      </w:r>
      <w:proofErr w:type="gramStart"/>
      <w:r w:rsidRPr="00A05634">
        <w:rPr>
          <w:rFonts w:ascii="Times New Roman" w:hAnsi="Times New Roman"/>
          <w:sz w:val="22"/>
          <w:szCs w:val="22"/>
        </w:rPr>
        <w:t>general public</w:t>
      </w:r>
      <w:proofErr w:type="gramEnd"/>
      <w:r w:rsidRPr="00A05634">
        <w:rPr>
          <w:rFonts w:ascii="Times New Roman" w:hAnsi="Times New Roman"/>
          <w:sz w:val="22"/>
          <w:szCs w:val="22"/>
        </w:rPr>
        <w:t xml:space="preserve"> that the Council will hold a meeting, open to the public, on </w:t>
      </w:r>
      <w:r w:rsidRPr="00A05634">
        <w:rPr>
          <w:rFonts w:ascii="Times New Roman" w:hAnsi="Times New Roman"/>
          <w:b/>
          <w:sz w:val="22"/>
          <w:szCs w:val="22"/>
        </w:rPr>
        <w:t>T</w:t>
      </w:r>
      <w:r w:rsidR="00133253">
        <w:rPr>
          <w:rFonts w:ascii="Times New Roman" w:hAnsi="Times New Roman"/>
          <w:b/>
          <w:sz w:val="22"/>
          <w:szCs w:val="22"/>
        </w:rPr>
        <w:t>hursday</w:t>
      </w:r>
      <w:r w:rsidRPr="00A05634">
        <w:rPr>
          <w:rFonts w:ascii="Times New Roman" w:hAnsi="Times New Roman"/>
          <w:b/>
          <w:sz w:val="22"/>
          <w:szCs w:val="22"/>
        </w:rPr>
        <w:t xml:space="preserve">, </w:t>
      </w:r>
      <w:r w:rsidR="008E7B1F" w:rsidRPr="00A05634">
        <w:rPr>
          <w:rFonts w:ascii="Times New Roman" w:hAnsi="Times New Roman"/>
          <w:b/>
          <w:sz w:val="22"/>
          <w:szCs w:val="22"/>
        </w:rPr>
        <w:t>Ju</w:t>
      </w:r>
      <w:r w:rsidR="00133253">
        <w:rPr>
          <w:rFonts w:ascii="Times New Roman" w:hAnsi="Times New Roman"/>
          <w:b/>
          <w:sz w:val="22"/>
          <w:szCs w:val="22"/>
        </w:rPr>
        <w:t>ly</w:t>
      </w:r>
      <w:r w:rsidR="008E7B1F" w:rsidRPr="00A05634">
        <w:rPr>
          <w:rFonts w:ascii="Times New Roman" w:hAnsi="Times New Roman"/>
          <w:b/>
          <w:sz w:val="22"/>
          <w:szCs w:val="22"/>
        </w:rPr>
        <w:t xml:space="preserve"> 6</w:t>
      </w:r>
      <w:r w:rsidRPr="00A05634">
        <w:rPr>
          <w:rFonts w:ascii="Times New Roman" w:hAnsi="Times New Roman"/>
          <w:b/>
          <w:sz w:val="22"/>
          <w:szCs w:val="22"/>
        </w:rPr>
        <w:t>, 2017, at 10:00 a.m.</w:t>
      </w:r>
      <w:r w:rsidRPr="00A05634">
        <w:rPr>
          <w:rFonts w:ascii="Times New Roman" w:hAnsi="Times New Roman"/>
          <w:sz w:val="22"/>
          <w:szCs w:val="22"/>
        </w:rPr>
        <w:t xml:space="preserve"> </w:t>
      </w:r>
      <w:r w:rsidR="00C758A6" w:rsidRPr="00C758A6">
        <w:rPr>
          <w:rFonts w:ascii="Times New Roman" w:hAnsi="Times New Roman"/>
          <w:sz w:val="22"/>
          <w:szCs w:val="22"/>
        </w:rPr>
        <w:t>in the Pharmacy Boardroom located in the Land Department building at 1616 West Adams, Suite 120</w:t>
      </w:r>
      <w:r w:rsidR="00C758A6">
        <w:rPr>
          <w:rFonts w:ascii="Times New Roman" w:hAnsi="Times New Roman"/>
          <w:sz w:val="22"/>
          <w:szCs w:val="22"/>
        </w:rPr>
        <w:t>, Phoenix, AZ 85007</w:t>
      </w:r>
      <w:r w:rsidR="008E7B1F" w:rsidRPr="00A05634">
        <w:rPr>
          <w:rFonts w:ascii="Times New Roman" w:hAnsi="Times New Roman"/>
          <w:sz w:val="22"/>
          <w:szCs w:val="22"/>
        </w:rPr>
        <w:t xml:space="preserve">. </w:t>
      </w:r>
      <w:r w:rsidRPr="00A05634">
        <w:rPr>
          <w:rFonts w:ascii="Times New Roman" w:hAnsi="Times New Roman"/>
          <w:sz w:val="22"/>
          <w:szCs w:val="22"/>
        </w:rPr>
        <w:t xml:space="preserve">For more information, please call (602) 542-2058.  </w:t>
      </w: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126381" w:rsidRPr="00A05634" w:rsidRDefault="00126381" w:rsidP="00A05634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Attention visitors (including agency personnel and members of the public)</w:t>
      </w:r>
      <w:r w:rsidRPr="00A05634">
        <w:rPr>
          <w:rFonts w:ascii="Times New Roman" w:hAnsi="Times New Roman"/>
          <w:sz w:val="22"/>
          <w:szCs w:val="22"/>
        </w:rPr>
        <w:t>: The Department of Administration has implemented building security measures at 100 N. 15th Avenue. All visitors who do not have a badge granting access to the building must go to the Badging Office on the first floor to be admitted as a guest. Please call (602) 542-2058 with any questions or concerns regarding admittance to the building.</w:t>
      </w:r>
      <w:r w:rsidRPr="00A05634">
        <w:rPr>
          <w:rFonts w:ascii="Times New Roman" w:hAnsi="Times New Roman"/>
          <w:sz w:val="22"/>
          <w:szCs w:val="22"/>
        </w:rPr>
        <w:br/>
      </w:r>
    </w:p>
    <w:p w:rsidR="00126381" w:rsidRPr="00A05634" w:rsidRDefault="00126381" w:rsidP="00A05634">
      <w:pPr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>Persons with a disability may request a reasonable accommodation, such as a sign language interpreter, by calling (602) 542-2058. Requests should be made as early as possible to allow time to arrange the accommodation.</w:t>
      </w:r>
    </w:p>
    <w:p w:rsidR="00126381" w:rsidRPr="00A05634" w:rsidRDefault="00126381" w:rsidP="00A05634">
      <w:pPr>
        <w:contextualSpacing/>
        <w:rPr>
          <w:rFonts w:ascii="Times New Roman" w:hAnsi="Times New Roman"/>
          <w:sz w:val="22"/>
          <w:szCs w:val="22"/>
        </w:rPr>
      </w:pPr>
    </w:p>
    <w:p w:rsidR="00126381" w:rsidRPr="00A05634" w:rsidRDefault="00126381" w:rsidP="00A05634">
      <w:pPr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>A copy of the material provided to Council members (</w:t>
      </w:r>
      <w:proofErr w:type="gramStart"/>
      <w:r w:rsidRPr="00A05634">
        <w:rPr>
          <w:rFonts w:ascii="Times New Roman" w:hAnsi="Times New Roman"/>
          <w:sz w:val="22"/>
          <w:szCs w:val="22"/>
        </w:rPr>
        <w:t>with the exception of</w:t>
      </w:r>
      <w:proofErr w:type="gramEnd"/>
      <w:r w:rsidRPr="00A05634">
        <w:rPr>
          <w:rFonts w:ascii="Times New Roman" w:hAnsi="Times New Roman"/>
          <w:sz w:val="22"/>
          <w:szCs w:val="22"/>
        </w:rPr>
        <w:t xml:space="preserve"> material relating to possible executive sessions) is available for public inspection at the Council’s office, located at 100 N. 15th Avenue, Suite 305, Phoenix, AZ.</w:t>
      </w:r>
    </w:p>
    <w:p w:rsidR="00126381" w:rsidRPr="00A05634" w:rsidRDefault="00126381" w:rsidP="00A05634">
      <w:pPr>
        <w:contextualSpacing/>
        <w:rPr>
          <w:rFonts w:ascii="Times New Roman" w:hAnsi="Times New Roman"/>
          <w:sz w:val="22"/>
          <w:szCs w:val="22"/>
        </w:rPr>
      </w:pP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 xml:space="preserve">Under A.R.S. § 38-431.03(A)(3), the Council may vote to go into executive session, which will not be open to the public, </w:t>
      </w:r>
      <w:proofErr w:type="gramStart"/>
      <w:r w:rsidRPr="00A05634">
        <w:rPr>
          <w:rFonts w:ascii="Times New Roman" w:hAnsi="Times New Roman"/>
          <w:sz w:val="22"/>
          <w:szCs w:val="22"/>
        </w:rPr>
        <w:t>for the purpose of</w:t>
      </w:r>
      <w:proofErr w:type="gramEnd"/>
      <w:r w:rsidRPr="00A05634">
        <w:rPr>
          <w:rFonts w:ascii="Times New Roman" w:hAnsi="Times New Roman"/>
          <w:sz w:val="22"/>
          <w:szCs w:val="22"/>
        </w:rPr>
        <w:t xml:space="preserve"> obtaining legal advice on any item on the agenda.</w:t>
      </w: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 xml:space="preserve">At its discretion, the Council may consider and act upon any agenda item out of order. Members of the Council may appear by telephone. </w:t>
      </w: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</w:p>
    <w:p w:rsidR="00126381" w:rsidRPr="00A05634" w:rsidRDefault="00126381" w:rsidP="00A0563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 xml:space="preserve">The agenda for the meeting (subject to change up to 24 hours before the meeting) is as follows: </w:t>
      </w:r>
    </w:p>
    <w:p w:rsidR="00C758A6" w:rsidRPr="00A05634" w:rsidRDefault="00C758A6" w:rsidP="00A05634">
      <w:pPr>
        <w:tabs>
          <w:tab w:val="left" w:pos="540"/>
        </w:tabs>
        <w:contextualSpacing/>
        <w:rPr>
          <w:rFonts w:ascii="Times New Roman" w:hAnsi="Times New Roman"/>
          <w:sz w:val="22"/>
          <w:szCs w:val="22"/>
        </w:rPr>
      </w:pPr>
    </w:p>
    <w:p w:rsidR="00126381" w:rsidRDefault="00126381" w:rsidP="00A05634">
      <w:pPr>
        <w:numPr>
          <w:ilvl w:val="0"/>
          <w:numId w:val="1"/>
        </w:numPr>
        <w:tabs>
          <w:tab w:val="left" w:pos="630"/>
        </w:tabs>
        <w:ind w:left="630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CALL TO ORDER AND PLEDGE OF ALLEGIANCE</w:t>
      </w:r>
    </w:p>
    <w:p w:rsidR="00126381" w:rsidRPr="00A05634" w:rsidRDefault="00126381" w:rsidP="00A05634">
      <w:pPr>
        <w:tabs>
          <w:tab w:val="left" w:pos="540"/>
        </w:tabs>
        <w:contextualSpacing/>
        <w:rPr>
          <w:rFonts w:ascii="Times New Roman" w:hAnsi="Times New Roman"/>
          <w:sz w:val="22"/>
          <w:szCs w:val="22"/>
        </w:rPr>
      </w:pPr>
    </w:p>
    <w:p w:rsidR="00126381" w:rsidRDefault="00126381" w:rsidP="00A05634">
      <w:pPr>
        <w:numPr>
          <w:ilvl w:val="0"/>
          <w:numId w:val="1"/>
        </w:numPr>
        <w:tabs>
          <w:tab w:val="left" w:pos="720"/>
        </w:tabs>
        <w:ind w:left="630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DISCLOSURE OF CONFLICTS OF INTEREST</w:t>
      </w:r>
    </w:p>
    <w:p w:rsidR="00C758A6" w:rsidRPr="00A05634" w:rsidRDefault="00C758A6" w:rsidP="00A05634">
      <w:pPr>
        <w:tabs>
          <w:tab w:val="left" w:pos="540"/>
        </w:tabs>
        <w:contextualSpacing/>
        <w:rPr>
          <w:rFonts w:ascii="Times New Roman" w:hAnsi="Times New Roman"/>
          <w:sz w:val="22"/>
          <w:szCs w:val="22"/>
        </w:rPr>
      </w:pPr>
    </w:p>
    <w:p w:rsidR="00126381" w:rsidRPr="00A05634" w:rsidRDefault="00126381" w:rsidP="00A05634">
      <w:pPr>
        <w:numPr>
          <w:ilvl w:val="0"/>
          <w:numId w:val="1"/>
        </w:numPr>
        <w:tabs>
          <w:tab w:val="left" w:pos="720"/>
        </w:tabs>
        <w:ind w:left="630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CONSENT AGENDA ITEMS</w:t>
      </w:r>
    </w:p>
    <w:p w:rsidR="00126381" w:rsidRPr="00A05634" w:rsidRDefault="00126381" w:rsidP="00A05634">
      <w:pPr>
        <w:widowControl w:val="0"/>
        <w:tabs>
          <w:tab w:val="left" w:pos="36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sz w:val="22"/>
          <w:szCs w:val="22"/>
        </w:rPr>
      </w:pPr>
    </w:p>
    <w:p w:rsidR="00126381" w:rsidRPr="00A05634" w:rsidRDefault="00C758A6" w:rsidP="00C758A6">
      <w:pPr>
        <w:tabs>
          <w:tab w:val="left" w:pos="540"/>
        </w:tabs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126381" w:rsidRPr="00A05634">
        <w:rPr>
          <w:rFonts w:ascii="Times New Roman" w:hAnsi="Times New Roman"/>
          <w:b/>
          <w:sz w:val="22"/>
          <w:szCs w:val="22"/>
        </w:rPr>
        <w:t>Five-Year-Review Reports:</w:t>
      </w:r>
    </w:p>
    <w:p w:rsidR="00126381" w:rsidRPr="00A05634" w:rsidRDefault="00126381" w:rsidP="00A05634">
      <w:pPr>
        <w:tabs>
          <w:tab w:val="left" w:pos="540"/>
        </w:tabs>
        <w:ind w:left="1584"/>
        <w:contextualSpacing/>
        <w:rPr>
          <w:rFonts w:ascii="Times New Roman" w:hAnsi="Times New Roman"/>
          <w:b/>
          <w:sz w:val="22"/>
          <w:szCs w:val="22"/>
        </w:rPr>
      </w:pPr>
    </w:p>
    <w:p w:rsidR="00C758A6" w:rsidRPr="00C758A6" w:rsidRDefault="00126381" w:rsidP="00C758A6">
      <w:pPr>
        <w:numPr>
          <w:ilvl w:val="1"/>
          <w:numId w:val="2"/>
        </w:numPr>
        <w:tabs>
          <w:tab w:val="left" w:pos="540"/>
        </w:tabs>
        <w:ind w:left="1350"/>
        <w:rPr>
          <w:rFonts w:ascii="Times New Roman" w:eastAsiaTheme="minorHAnsi" w:hAnsi="Times New Roman"/>
          <w:b/>
          <w:sz w:val="22"/>
          <w:szCs w:val="22"/>
        </w:rPr>
      </w:pPr>
      <w:r w:rsidRPr="00A05634">
        <w:rPr>
          <w:rFonts w:ascii="Times New Roman" w:eastAsiaTheme="minorHAnsi" w:hAnsi="Times New Roman"/>
          <w:b/>
          <w:sz w:val="22"/>
          <w:szCs w:val="22"/>
        </w:rPr>
        <w:t>D</w:t>
      </w:r>
      <w:r w:rsidR="00C758A6" w:rsidRPr="00C758A6">
        <w:rPr>
          <w:rFonts w:ascii="Times New Roman" w:eastAsiaTheme="minorHAnsi" w:hAnsi="Times New Roman"/>
          <w:b/>
          <w:sz w:val="22"/>
          <w:szCs w:val="22"/>
        </w:rPr>
        <w:t>EPARTMENT OF TRANSPORTATION (F-17-0601)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>Title 17, Chapter 5, Article 8, Mandatory Insurance and Financial Responsibility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882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REVENUE (F-17-0605)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>Title 15, Chapter 5, Article 22, Transaction Privilege Tax - Administration; Article 23, Use Tax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882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ECONOMIC SECURITY (F-17-0702)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>Title 6, Chapter 5, Article 49, Child Care Assistance</w:t>
      </w:r>
    </w:p>
    <w:p w:rsidR="00554F20" w:rsidRPr="00C758A6" w:rsidRDefault="00554F20" w:rsidP="00554F20">
      <w:pPr>
        <w:tabs>
          <w:tab w:val="left" w:pos="540"/>
        </w:tabs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90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ENVIRONMENTAL QUALITY (F-17-0606)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>Title 18, Chapter 16, Article 2, Preliminary Investigations and Site Scoring; Article 3, Public Information; Article 4, Remedy Selection; Article 5, Interim Remedial Actions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882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lastRenderedPageBreak/>
        <w:t>DEPART</w:t>
      </w:r>
      <w:bookmarkStart w:id="0" w:name="_GoBack"/>
      <w:bookmarkEnd w:id="0"/>
      <w:r w:rsidRPr="00C758A6">
        <w:rPr>
          <w:rFonts w:ascii="Times New Roman" w:eastAsiaTheme="minorHAnsi" w:hAnsi="Times New Roman"/>
          <w:b/>
          <w:sz w:val="22"/>
          <w:szCs w:val="22"/>
        </w:rPr>
        <w:t>MENT OF ENVIRONMENTAL QUALITY (F-17-0705)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>Title 18, Chapter 7, Article 2, Soil Remediation Standards; Article 3, Prospective Purchaser Agreement; Article 5, Voluntary Remediation Program; Article 6, Declaration of Environmental Use Restriction Fee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882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ENVIRONMENTAL QUALITY (F-17-0706)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 xml:space="preserve">Title 18, Chapter 1, Article 1, Definitions; Article 2, Administrative Appeals; Article 3, Public Participation in Rulemaking; Article 4, Public Notice and </w:t>
      </w:r>
      <w:proofErr w:type="gramStart"/>
      <w:r w:rsidRPr="00C758A6">
        <w:rPr>
          <w:rFonts w:ascii="Times New Roman" w:eastAsiaTheme="minorHAnsi" w:hAnsi="Times New Roman"/>
          <w:sz w:val="22"/>
          <w:szCs w:val="22"/>
        </w:rPr>
        <w:t>General Public</w:t>
      </w:r>
      <w:proofErr w:type="gramEnd"/>
      <w:r w:rsidRPr="00C758A6">
        <w:rPr>
          <w:rFonts w:ascii="Times New Roman" w:eastAsiaTheme="minorHAnsi" w:hAnsi="Times New Roman"/>
          <w:sz w:val="22"/>
          <w:szCs w:val="22"/>
        </w:rPr>
        <w:t xml:space="preserve"> Hearings; Article 5, Licensing Time-Frames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90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HOUSING (F-17-0707)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>Title 4, Chapter 34, Article 1, General; Article 2, Licensing; Article 3, Sales Transactions and Trust or Escrow Account; Article 4, Surety Bonds; Article 5, Fees; Article 6, Manufacturing, Construction, and Inspection; Article 7, Plan Approvals; Article 8, Permits and Installations; Article 10, Administrative Procedures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90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HEALTH SERVICES (F-17-0708)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 xml:space="preserve">Title 9, Chapter 25, Article 2, Medical Direction; ALS Base Hospital Certification; Article 5, Medical Direction Protocols for Emergency Medical Care Technicians 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882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HEALTH SERVICES (F-17-0703)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>Title 9, Chapter 25, Article 7, Air Ambulance Service Licensing;</w:t>
      </w:r>
      <w:r w:rsidR="00554F20">
        <w:rPr>
          <w:rFonts w:ascii="Times New Roman" w:eastAsiaTheme="minorHAnsi" w:hAnsi="Times New Roman"/>
          <w:sz w:val="22"/>
          <w:szCs w:val="22"/>
        </w:rPr>
        <w:t xml:space="preserve"> Article 8, Air Ambulance </w:t>
      </w:r>
      <w:r w:rsidRPr="00C758A6">
        <w:rPr>
          <w:rFonts w:ascii="Times New Roman" w:eastAsiaTheme="minorHAnsi" w:hAnsi="Times New Roman"/>
          <w:sz w:val="22"/>
          <w:szCs w:val="22"/>
        </w:rPr>
        <w:t>Service Registration</w:t>
      </w:r>
    </w:p>
    <w:p w:rsidR="00C758A6" w:rsidRPr="00C758A6" w:rsidRDefault="00C758A6" w:rsidP="00C758A6">
      <w:pPr>
        <w:tabs>
          <w:tab w:val="left" w:pos="54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</w:p>
    <w:p w:rsidR="00C758A6" w:rsidRPr="00C758A6" w:rsidRDefault="00C758A6" w:rsidP="00C758A6">
      <w:pPr>
        <w:numPr>
          <w:ilvl w:val="1"/>
          <w:numId w:val="2"/>
        </w:numPr>
        <w:tabs>
          <w:tab w:val="left" w:pos="540"/>
          <w:tab w:val="num" w:pos="900"/>
        </w:tabs>
        <w:ind w:left="1350"/>
        <w:contextualSpacing/>
        <w:rPr>
          <w:rFonts w:ascii="Times New Roman" w:eastAsiaTheme="minorHAnsi" w:hAnsi="Times New Roman"/>
          <w:b/>
          <w:sz w:val="22"/>
          <w:szCs w:val="22"/>
        </w:rPr>
      </w:pPr>
      <w:r w:rsidRPr="00C758A6">
        <w:rPr>
          <w:rFonts w:ascii="Times New Roman" w:eastAsiaTheme="minorHAnsi" w:hAnsi="Times New Roman"/>
          <w:b/>
          <w:sz w:val="22"/>
          <w:szCs w:val="22"/>
        </w:rPr>
        <w:t>DEPARTMENT OF HEALTH SERVICES (F-17-0709)</w:t>
      </w:r>
    </w:p>
    <w:p w:rsidR="00C758A6" w:rsidRDefault="00C758A6" w:rsidP="00C758A6">
      <w:pPr>
        <w:tabs>
          <w:tab w:val="left" w:pos="540"/>
        </w:tabs>
        <w:ind w:left="1440"/>
        <w:contextualSpacing/>
        <w:rPr>
          <w:rFonts w:ascii="Times New Roman" w:eastAsiaTheme="minorHAnsi" w:hAnsi="Times New Roman"/>
          <w:sz w:val="22"/>
          <w:szCs w:val="22"/>
        </w:rPr>
      </w:pPr>
      <w:r w:rsidRPr="00C758A6">
        <w:rPr>
          <w:rFonts w:ascii="Times New Roman" w:eastAsiaTheme="minorHAnsi" w:hAnsi="Times New Roman"/>
          <w:sz w:val="22"/>
          <w:szCs w:val="22"/>
        </w:rPr>
        <w:t xml:space="preserve">Title 9, Chapter 25, Article 9, Ground Ambulance Certificate of Necessity; Article 10, Ground Ambulance Vehicle Registration; Article 11, Ground Ambulance Service </w:t>
      </w:r>
      <w:proofErr w:type="gramStart"/>
      <w:r w:rsidRPr="00C758A6">
        <w:rPr>
          <w:rFonts w:ascii="Times New Roman" w:eastAsiaTheme="minorHAnsi" w:hAnsi="Times New Roman"/>
          <w:sz w:val="22"/>
          <w:szCs w:val="22"/>
        </w:rPr>
        <w:t>General Public</w:t>
      </w:r>
      <w:proofErr w:type="gramEnd"/>
      <w:r w:rsidRPr="00C758A6">
        <w:rPr>
          <w:rFonts w:ascii="Times New Roman" w:eastAsiaTheme="minorHAnsi" w:hAnsi="Times New Roman"/>
          <w:sz w:val="22"/>
          <w:szCs w:val="22"/>
        </w:rPr>
        <w:t xml:space="preserve"> Rates and Charges; Contracts</w:t>
      </w:r>
    </w:p>
    <w:p w:rsidR="00126381" w:rsidRPr="00A05634" w:rsidRDefault="00126381" w:rsidP="00C758A6">
      <w:pPr>
        <w:contextualSpacing/>
        <w:rPr>
          <w:rFonts w:ascii="Times New Roman" w:hAnsi="Times New Roman"/>
          <w:b/>
          <w:sz w:val="22"/>
          <w:szCs w:val="22"/>
        </w:rPr>
      </w:pPr>
    </w:p>
    <w:p w:rsidR="00126381" w:rsidRPr="00A05634" w:rsidRDefault="00126381" w:rsidP="00A05634">
      <w:pPr>
        <w:numPr>
          <w:ilvl w:val="0"/>
          <w:numId w:val="1"/>
        </w:numPr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CONSIDERATION AND DISCUSSION OF RULES:</w:t>
      </w:r>
    </w:p>
    <w:p w:rsidR="008E7B1F" w:rsidRPr="00A05634" w:rsidRDefault="008E7B1F" w:rsidP="00A05634">
      <w:pPr>
        <w:ind w:left="360"/>
        <w:contextualSpacing/>
        <w:rPr>
          <w:rFonts w:ascii="Times New Roman" w:hAnsi="Times New Roman"/>
          <w:b/>
          <w:sz w:val="22"/>
          <w:szCs w:val="22"/>
        </w:rPr>
      </w:pPr>
    </w:p>
    <w:p w:rsidR="008E7B1F" w:rsidRPr="00A05634" w:rsidRDefault="008E7B1F" w:rsidP="00A05634">
      <w:pPr>
        <w:pStyle w:val="ListParagraph"/>
        <w:numPr>
          <w:ilvl w:val="1"/>
          <w:numId w:val="3"/>
        </w:numPr>
        <w:tabs>
          <w:tab w:val="left" w:pos="360"/>
          <w:tab w:val="left" w:pos="1440"/>
          <w:tab w:val="left" w:pos="5760"/>
        </w:tabs>
        <w:ind w:hanging="252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 xml:space="preserve">BOARD OF PHARMACY (R-17-0502) </w:t>
      </w:r>
    </w:p>
    <w:p w:rsidR="008E7B1F" w:rsidRPr="00A05634" w:rsidRDefault="008E7B1F" w:rsidP="00A05634">
      <w:pPr>
        <w:pStyle w:val="ListParagraph"/>
        <w:tabs>
          <w:tab w:val="left" w:pos="360"/>
          <w:tab w:val="left" w:pos="1440"/>
          <w:tab w:val="left" w:pos="5760"/>
        </w:tabs>
        <w:ind w:left="882"/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sz w:val="22"/>
          <w:szCs w:val="22"/>
        </w:rPr>
        <w:t>Title 4, Chapter 23, Article 7, Non-Pharmacy Licensed Outlets - General Provisions</w:t>
      </w:r>
    </w:p>
    <w:p w:rsidR="008E7B1F" w:rsidRPr="00A05634" w:rsidRDefault="008E7B1F" w:rsidP="00A05634">
      <w:pPr>
        <w:pStyle w:val="ListParagraph"/>
        <w:tabs>
          <w:tab w:val="left" w:pos="360"/>
          <w:tab w:val="left" w:pos="1440"/>
          <w:tab w:val="left" w:pos="5760"/>
        </w:tabs>
        <w:ind w:left="882"/>
        <w:contextualSpacing/>
        <w:rPr>
          <w:rFonts w:ascii="Times New Roman" w:hAnsi="Times New Roman"/>
          <w:sz w:val="22"/>
          <w:szCs w:val="22"/>
        </w:rPr>
      </w:pPr>
    </w:p>
    <w:p w:rsidR="008E7B1F" w:rsidRPr="00A05634" w:rsidRDefault="008E7B1F" w:rsidP="00A05634">
      <w:pPr>
        <w:pStyle w:val="ListParagraph"/>
        <w:tabs>
          <w:tab w:val="left" w:pos="360"/>
          <w:tab w:val="left" w:pos="1440"/>
          <w:tab w:val="left" w:pos="2880"/>
        </w:tabs>
        <w:ind w:left="882"/>
        <w:contextualSpacing/>
        <w:rPr>
          <w:rFonts w:ascii="Times New Roman" w:hAnsi="Times New Roman"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Amend</w:t>
      </w:r>
      <w:r w:rsidRPr="00A05634">
        <w:rPr>
          <w:rFonts w:ascii="Times New Roman" w:hAnsi="Times New Roman"/>
          <w:sz w:val="22"/>
          <w:szCs w:val="22"/>
        </w:rPr>
        <w:t>:</w:t>
      </w:r>
      <w:r w:rsidRPr="00A05634">
        <w:rPr>
          <w:rFonts w:ascii="Times New Roman" w:hAnsi="Times New Roman"/>
          <w:sz w:val="22"/>
          <w:szCs w:val="22"/>
        </w:rPr>
        <w:tab/>
        <w:t>R4-23-703</w:t>
      </w:r>
    </w:p>
    <w:p w:rsidR="008E7B1F" w:rsidRPr="00A05634" w:rsidRDefault="008E7B1F" w:rsidP="00A05634">
      <w:pPr>
        <w:contextualSpacing/>
        <w:rPr>
          <w:rFonts w:ascii="Times New Roman" w:hAnsi="Times New Roman"/>
          <w:b/>
          <w:sz w:val="22"/>
          <w:szCs w:val="22"/>
        </w:rPr>
      </w:pPr>
    </w:p>
    <w:p w:rsidR="00FA564A" w:rsidRPr="00FA564A" w:rsidRDefault="008E7B1F" w:rsidP="00FA564A">
      <w:pPr>
        <w:pStyle w:val="ListParagraph"/>
        <w:numPr>
          <w:ilvl w:val="1"/>
          <w:numId w:val="3"/>
        </w:numPr>
        <w:ind w:hanging="252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D</w:t>
      </w:r>
      <w:r w:rsidR="00FA564A" w:rsidRPr="00FA564A">
        <w:rPr>
          <w:rFonts w:ascii="Times New Roman" w:hAnsi="Times New Roman"/>
          <w:b/>
          <w:sz w:val="22"/>
          <w:szCs w:val="22"/>
        </w:rPr>
        <w:t>EPARTMENT OF TRANSPORTATION (R-17-0701)</w:t>
      </w:r>
    </w:p>
    <w:p w:rsidR="00FA564A" w:rsidRPr="00FA564A" w:rsidRDefault="00FA564A" w:rsidP="00FA564A">
      <w:pPr>
        <w:pStyle w:val="ListParagraph"/>
        <w:ind w:left="882"/>
        <w:rPr>
          <w:rFonts w:ascii="Times New Roman" w:hAnsi="Times New Roman"/>
          <w:sz w:val="22"/>
          <w:szCs w:val="22"/>
        </w:rPr>
      </w:pPr>
      <w:r w:rsidRPr="00FA564A">
        <w:rPr>
          <w:rFonts w:ascii="Times New Roman" w:hAnsi="Times New Roman"/>
          <w:sz w:val="22"/>
          <w:szCs w:val="22"/>
        </w:rPr>
        <w:t xml:space="preserve">Title 17, Chapter 5, Article 3, Professional Driver Services </w:t>
      </w:r>
    </w:p>
    <w:p w:rsidR="00FA564A" w:rsidRPr="00FA564A" w:rsidRDefault="00FA564A" w:rsidP="00FA564A">
      <w:pPr>
        <w:pStyle w:val="ListParagraph"/>
        <w:ind w:left="882"/>
        <w:rPr>
          <w:rFonts w:ascii="Times New Roman" w:hAnsi="Times New Roman"/>
          <w:b/>
          <w:sz w:val="22"/>
          <w:szCs w:val="22"/>
        </w:rPr>
      </w:pPr>
    </w:p>
    <w:p w:rsidR="00FA564A" w:rsidRPr="00FA564A" w:rsidRDefault="00FA564A" w:rsidP="00FA564A">
      <w:pPr>
        <w:pStyle w:val="ListParagraph"/>
        <w:ind w:left="882"/>
        <w:rPr>
          <w:rFonts w:ascii="Times New Roman" w:hAnsi="Times New Roman"/>
          <w:sz w:val="22"/>
          <w:szCs w:val="22"/>
        </w:rPr>
      </w:pPr>
      <w:r w:rsidRPr="00FA564A">
        <w:rPr>
          <w:rFonts w:ascii="Times New Roman" w:hAnsi="Times New Roman"/>
          <w:b/>
          <w:sz w:val="22"/>
          <w:szCs w:val="22"/>
        </w:rPr>
        <w:t>Amend:</w:t>
      </w:r>
      <w:r w:rsidRPr="00FA564A">
        <w:rPr>
          <w:rFonts w:ascii="Times New Roman" w:hAnsi="Times New Roman"/>
          <w:b/>
          <w:sz w:val="22"/>
          <w:szCs w:val="22"/>
        </w:rPr>
        <w:tab/>
      </w:r>
      <w:r w:rsidRPr="00FA564A">
        <w:rPr>
          <w:rFonts w:ascii="Times New Roman" w:hAnsi="Times New Roman"/>
          <w:b/>
          <w:sz w:val="22"/>
          <w:szCs w:val="22"/>
        </w:rPr>
        <w:tab/>
      </w:r>
      <w:r w:rsidRPr="00FA564A">
        <w:rPr>
          <w:rFonts w:ascii="Times New Roman" w:hAnsi="Times New Roman"/>
          <w:sz w:val="22"/>
          <w:szCs w:val="22"/>
        </w:rPr>
        <w:t>R17-5-301; R17-5-302; R17-5-303; R17-5-305; R17-5-306;</w:t>
      </w:r>
    </w:p>
    <w:p w:rsidR="00FA564A" w:rsidRPr="00FA564A" w:rsidRDefault="00FA564A" w:rsidP="00FA564A">
      <w:pPr>
        <w:pStyle w:val="ListParagraph"/>
        <w:ind w:left="882"/>
        <w:rPr>
          <w:rFonts w:ascii="Times New Roman" w:hAnsi="Times New Roman"/>
          <w:sz w:val="22"/>
          <w:szCs w:val="22"/>
        </w:rPr>
      </w:pPr>
      <w:r w:rsidRPr="00FA564A">
        <w:rPr>
          <w:rFonts w:ascii="Times New Roman" w:hAnsi="Times New Roman"/>
          <w:sz w:val="22"/>
          <w:szCs w:val="22"/>
        </w:rPr>
        <w:tab/>
      </w:r>
      <w:r w:rsidRPr="00FA564A">
        <w:rPr>
          <w:rFonts w:ascii="Times New Roman" w:hAnsi="Times New Roman"/>
          <w:sz w:val="22"/>
          <w:szCs w:val="22"/>
        </w:rPr>
        <w:tab/>
      </w:r>
      <w:r w:rsidRPr="00FA564A">
        <w:rPr>
          <w:rFonts w:ascii="Times New Roman" w:hAnsi="Times New Roman"/>
          <w:sz w:val="22"/>
          <w:szCs w:val="22"/>
        </w:rPr>
        <w:tab/>
        <w:t xml:space="preserve">R17-5-307; R17-5-308; R17-5-309; R17-5-311; R17-5-313; </w:t>
      </w:r>
    </w:p>
    <w:p w:rsidR="00A05634" w:rsidRDefault="00FA564A" w:rsidP="00C758A6">
      <w:pPr>
        <w:pStyle w:val="ListParagraph"/>
        <w:ind w:left="882"/>
        <w:rPr>
          <w:rFonts w:ascii="Times New Roman" w:hAnsi="Times New Roman"/>
          <w:sz w:val="22"/>
          <w:szCs w:val="22"/>
        </w:rPr>
      </w:pPr>
      <w:r w:rsidRPr="00FA564A">
        <w:rPr>
          <w:rFonts w:ascii="Times New Roman" w:hAnsi="Times New Roman"/>
          <w:sz w:val="22"/>
          <w:szCs w:val="22"/>
        </w:rPr>
        <w:tab/>
      </w:r>
      <w:r w:rsidRPr="00FA564A">
        <w:rPr>
          <w:rFonts w:ascii="Times New Roman" w:hAnsi="Times New Roman"/>
          <w:sz w:val="22"/>
          <w:szCs w:val="22"/>
        </w:rPr>
        <w:tab/>
      </w:r>
      <w:r w:rsidRPr="00FA564A">
        <w:rPr>
          <w:rFonts w:ascii="Times New Roman" w:hAnsi="Times New Roman"/>
          <w:sz w:val="22"/>
          <w:szCs w:val="22"/>
        </w:rPr>
        <w:tab/>
        <w:t>R17-5-315; R17-5-318; R17-5-323</w:t>
      </w:r>
    </w:p>
    <w:p w:rsidR="00A05634" w:rsidRPr="00A05634" w:rsidRDefault="00A05634" w:rsidP="00A05634">
      <w:pPr>
        <w:contextualSpacing/>
        <w:rPr>
          <w:rFonts w:ascii="Times New Roman" w:hAnsi="Times New Roman"/>
          <w:b/>
          <w:sz w:val="22"/>
          <w:szCs w:val="22"/>
        </w:rPr>
      </w:pPr>
    </w:p>
    <w:p w:rsidR="00126381" w:rsidRPr="00A05634" w:rsidRDefault="00126381" w:rsidP="00A05634">
      <w:pPr>
        <w:numPr>
          <w:ilvl w:val="0"/>
          <w:numId w:val="1"/>
        </w:numPr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CONSIDERATION AND DISCUSSION OF FIVE-YEAR-REVIEW REPORTS:</w:t>
      </w:r>
    </w:p>
    <w:p w:rsidR="006F6F25" w:rsidRDefault="006F6F25" w:rsidP="006F6F25">
      <w:pPr>
        <w:contextualSpacing/>
        <w:rPr>
          <w:rFonts w:ascii="Times New Roman" w:hAnsi="Times New Roman"/>
          <w:b/>
          <w:sz w:val="22"/>
          <w:szCs w:val="22"/>
        </w:rPr>
      </w:pPr>
    </w:p>
    <w:p w:rsidR="006F6F25" w:rsidRDefault="006F6F25" w:rsidP="006F6F25">
      <w:pPr>
        <w:ind w:firstLine="720"/>
        <w:contextualSpacing/>
        <w:rPr>
          <w:rFonts w:ascii="Times New Roman" w:hAnsi="Times New Roman"/>
          <w:b/>
          <w:sz w:val="22"/>
          <w:szCs w:val="22"/>
        </w:rPr>
      </w:pPr>
      <w:r w:rsidRPr="006F6F25">
        <w:rPr>
          <w:rFonts w:ascii="Times New Roman" w:hAnsi="Times New Roman"/>
          <w:b/>
          <w:sz w:val="22"/>
          <w:szCs w:val="22"/>
        </w:rPr>
        <w:t>OIL AND GAS CONSERVATION COMMISSION (F-17-0510)</w:t>
      </w:r>
    </w:p>
    <w:p w:rsidR="006F6F25" w:rsidRDefault="006F6F25" w:rsidP="006F6F25">
      <w:pPr>
        <w:ind w:firstLine="720"/>
        <w:contextualSpacing/>
        <w:rPr>
          <w:rFonts w:ascii="Times New Roman" w:hAnsi="Times New Roman"/>
          <w:b/>
          <w:sz w:val="22"/>
          <w:szCs w:val="22"/>
        </w:rPr>
      </w:pPr>
      <w:r w:rsidRPr="006F6F25">
        <w:rPr>
          <w:rFonts w:ascii="Times New Roman" w:hAnsi="Times New Roman"/>
          <w:sz w:val="22"/>
          <w:szCs w:val="22"/>
        </w:rPr>
        <w:t>Title 12, Chapter 7, Article 1, Oil, Gas, Helium, and Geothermal Resources</w:t>
      </w:r>
    </w:p>
    <w:p w:rsidR="006F6F25" w:rsidRDefault="006F6F25" w:rsidP="006F6F25">
      <w:pPr>
        <w:contextualSpacing/>
        <w:rPr>
          <w:rFonts w:ascii="Times New Roman" w:hAnsi="Times New Roman"/>
          <w:b/>
          <w:sz w:val="22"/>
          <w:szCs w:val="22"/>
        </w:rPr>
      </w:pPr>
    </w:p>
    <w:p w:rsidR="00126381" w:rsidRPr="006F6F25" w:rsidRDefault="00A05634" w:rsidP="006F6F25">
      <w:pPr>
        <w:pStyle w:val="ListParagraph"/>
        <w:numPr>
          <w:ilvl w:val="0"/>
          <w:numId w:val="1"/>
        </w:numPr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6F6F25">
        <w:rPr>
          <w:rFonts w:ascii="Times New Roman" w:hAnsi="Times New Roman"/>
          <w:b/>
          <w:sz w:val="22"/>
          <w:szCs w:val="22"/>
        </w:rPr>
        <w:t>DISCUSSION ON</w:t>
      </w:r>
      <w:r w:rsidR="00126381" w:rsidRPr="006F6F25">
        <w:rPr>
          <w:rFonts w:ascii="Times New Roman" w:hAnsi="Times New Roman"/>
          <w:b/>
          <w:sz w:val="22"/>
          <w:szCs w:val="22"/>
        </w:rPr>
        <w:t xml:space="preserve"> </w:t>
      </w:r>
      <w:r w:rsidR="006F6F25" w:rsidRPr="006F6F25">
        <w:rPr>
          <w:rFonts w:ascii="Times New Roman" w:hAnsi="Times New Roman"/>
          <w:b/>
          <w:sz w:val="22"/>
          <w:szCs w:val="22"/>
        </w:rPr>
        <w:t>STAKEHOLDER AND COUNCIL MEMBER INVOLVEMENT IN THE ECONOMIC REVIEW PROCESS FOR RULES AND STATUTES</w:t>
      </w:r>
    </w:p>
    <w:p w:rsidR="00126381" w:rsidRPr="006F6F25" w:rsidRDefault="00126381" w:rsidP="006F6F25">
      <w:pPr>
        <w:contextualSpacing/>
        <w:rPr>
          <w:rFonts w:ascii="Times New Roman" w:hAnsi="Times New Roman"/>
          <w:b/>
          <w:sz w:val="22"/>
          <w:szCs w:val="22"/>
        </w:rPr>
      </w:pPr>
    </w:p>
    <w:p w:rsidR="00126381" w:rsidRPr="00A05634" w:rsidRDefault="00126381" w:rsidP="00A05634">
      <w:pPr>
        <w:numPr>
          <w:ilvl w:val="0"/>
          <w:numId w:val="1"/>
        </w:numPr>
        <w:tabs>
          <w:tab w:val="left" w:pos="720"/>
        </w:tabs>
        <w:ind w:left="900" w:hanging="540"/>
        <w:contextualSpacing/>
        <w:rPr>
          <w:rFonts w:ascii="Times New Roman" w:hAnsi="Times New Roman"/>
          <w:b/>
          <w:sz w:val="22"/>
          <w:szCs w:val="22"/>
        </w:rPr>
      </w:pPr>
      <w:r w:rsidRPr="00A05634">
        <w:rPr>
          <w:rFonts w:ascii="Times New Roman" w:hAnsi="Times New Roman"/>
          <w:b/>
          <w:sz w:val="22"/>
          <w:szCs w:val="22"/>
        </w:rPr>
        <w:t>ADJOURNMENT</w:t>
      </w:r>
    </w:p>
    <w:p w:rsidR="004A733A" w:rsidRDefault="004A733A"/>
    <w:sectPr w:rsidR="004A733A" w:rsidSect="00580709">
      <w:headerReference w:type="default" r:id="rId7"/>
      <w:headerReference w:type="first" r:id="rId8"/>
      <w:pgSz w:w="12240" w:h="15840"/>
      <w:pgMar w:top="135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A0" w:rsidRDefault="007E7EA0" w:rsidP="007E7EA0">
      <w:r>
        <w:separator/>
      </w:r>
    </w:p>
  </w:endnote>
  <w:endnote w:type="continuationSeparator" w:id="0">
    <w:p w:rsidR="007E7EA0" w:rsidRDefault="007E7EA0" w:rsidP="007E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A0" w:rsidRDefault="007E7EA0" w:rsidP="007E7EA0">
      <w:r>
        <w:separator/>
      </w:r>
    </w:p>
  </w:footnote>
  <w:footnote w:type="continuationSeparator" w:id="0">
    <w:p w:rsidR="007E7EA0" w:rsidRDefault="007E7EA0" w:rsidP="007E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14" w:rsidRPr="00245C38" w:rsidRDefault="00A1792A" w:rsidP="00750801">
    <w:pPr>
      <w:pStyle w:val="Header"/>
      <w:tabs>
        <w:tab w:val="clear" w:pos="8640"/>
        <w:tab w:val="left" w:pos="4320"/>
        <w:tab w:val="right" w:pos="7200"/>
      </w:tabs>
      <w:rPr>
        <w:b/>
      </w:rPr>
    </w:pPr>
    <w:r w:rsidRPr="00245C38">
      <w:rPr>
        <w:b/>
      </w:rPr>
      <w:t>Gove</w:t>
    </w:r>
    <w:r>
      <w:rPr>
        <w:b/>
      </w:rPr>
      <w:t xml:space="preserve">rnor’s Regulatory Review Council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AD6A14" w:rsidRPr="00245C38" w:rsidRDefault="00A1792A" w:rsidP="00D401F5">
    <w:pPr>
      <w:pStyle w:val="Header"/>
      <w:rPr>
        <w:b/>
      </w:rPr>
    </w:pPr>
    <w:r>
      <w:rPr>
        <w:b/>
      </w:rPr>
      <w:t xml:space="preserve">Notice of Public Meeting and Agenda for </w:t>
    </w:r>
    <w:r w:rsidR="007E7EA0">
      <w:rPr>
        <w:b/>
      </w:rPr>
      <w:t>Ju</w:t>
    </w:r>
    <w:r w:rsidR="00C758A6">
      <w:rPr>
        <w:b/>
      </w:rPr>
      <w:t>ly</w:t>
    </w:r>
    <w:r w:rsidR="007E7EA0">
      <w:rPr>
        <w:b/>
      </w:rPr>
      <w:t xml:space="preserve"> 6</w:t>
    </w:r>
    <w:r>
      <w:rPr>
        <w:b/>
      </w:rPr>
      <w:t>, 2017</w:t>
    </w:r>
  </w:p>
  <w:p w:rsidR="00AD6A14" w:rsidRDefault="00A1792A">
    <w:pPr>
      <w:pStyle w:val="Header"/>
      <w:rPr>
        <w:rStyle w:val="PageNumber"/>
        <w:b/>
      </w:rPr>
    </w:pPr>
    <w:r w:rsidRPr="00245C38">
      <w:rPr>
        <w:b/>
      </w:rPr>
      <w:t xml:space="preserve">Page </w:t>
    </w:r>
    <w:r w:rsidRPr="00245C38">
      <w:rPr>
        <w:rStyle w:val="PageNumber"/>
        <w:b/>
      </w:rPr>
      <w:fldChar w:fldCharType="begin"/>
    </w:r>
    <w:r w:rsidRPr="00245C38">
      <w:rPr>
        <w:rStyle w:val="PageNumber"/>
        <w:b/>
      </w:rPr>
      <w:instrText xml:space="preserve"> PAGE </w:instrText>
    </w:r>
    <w:r w:rsidRPr="00245C38">
      <w:rPr>
        <w:rStyle w:val="PageNumber"/>
        <w:b/>
      </w:rPr>
      <w:fldChar w:fldCharType="separate"/>
    </w:r>
    <w:r w:rsidR="00745AEA">
      <w:rPr>
        <w:rStyle w:val="PageNumber"/>
        <w:b/>
        <w:noProof/>
      </w:rPr>
      <w:t>2</w:t>
    </w:r>
    <w:r w:rsidRPr="00245C38">
      <w:rPr>
        <w:rStyle w:val="PageNumber"/>
        <w:b/>
      </w:rPr>
      <w:fldChar w:fldCharType="end"/>
    </w:r>
  </w:p>
  <w:p w:rsidR="009E1A1F" w:rsidRDefault="00745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14" w:rsidRDefault="00A1792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3F82"/>
    <w:multiLevelType w:val="hybridMultilevel"/>
    <w:tmpl w:val="00E242AC"/>
    <w:lvl w:ilvl="0" w:tplc="3904B290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437176F3"/>
    <w:multiLevelType w:val="multilevel"/>
    <w:tmpl w:val="8946A3FA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0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48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  <w:b w:val="0"/>
      </w:rPr>
    </w:lvl>
  </w:abstractNum>
  <w:abstractNum w:abstractNumId="2" w15:restartNumberingAfterBreak="0">
    <w:nsid w:val="452D14FA"/>
    <w:multiLevelType w:val="multilevel"/>
    <w:tmpl w:val="19263746"/>
    <w:lvl w:ilvl="0">
      <w:start w:val="1"/>
      <w:numFmt w:val="upperLetter"/>
      <w:lvlText w:val="%1."/>
      <w:lvlJc w:val="left"/>
      <w:pPr>
        <w:tabs>
          <w:tab w:val="num" w:pos="432"/>
        </w:tabs>
        <w:ind w:left="864" w:hanging="864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82"/>
        </w:tabs>
        <w:ind w:left="882" w:hanging="432"/>
      </w:pPr>
      <w:rPr>
        <w:rFonts w:ascii="Times New Roman" w:hAnsi="Times New Roman" w:cs="Times New Roman" w:hint="default"/>
        <w:b/>
        <w:i w:val="0"/>
        <w:caps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2448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12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75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616" w:hanging="10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6336" w:hanging="8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7200" w:hanging="8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7920" w:hanging="648"/>
      </w:pPr>
      <w:rPr>
        <w:rFonts w:hint="default"/>
      </w:rPr>
    </w:lvl>
  </w:abstractNum>
  <w:abstractNum w:abstractNumId="3" w15:restartNumberingAfterBreak="0">
    <w:nsid w:val="6979028C"/>
    <w:multiLevelType w:val="hybridMultilevel"/>
    <w:tmpl w:val="846A7B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7E725E"/>
    <w:multiLevelType w:val="multilevel"/>
    <w:tmpl w:val="19263746"/>
    <w:lvl w:ilvl="0">
      <w:start w:val="1"/>
      <w:numFmt w:val="upperLetter"/>
      <w:lvlText w:val="%1."/>
      <w:lvlJc w:val="left"/>
      <w:pPr>
        <w:tabs>
          <w:tab w:val="num" w:pos="432"/>
        </w:tabs>
        <w:ind w:left="864" w:hanging="864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82"/>
        </w:tabs>
        <w:ind w:left="882" w:hanging="432"/>
      </w:pPr>
      <w:rPr>
        <w:rFonts w:ascii="Times New Roman" w:hAnsi="Times New Roman" w:cs="Times New Roman" w:hint="default"/>
        <w:b/>
        <w:i w:val="0"/>
        <w:caps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2448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12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75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616" w:hanging="10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6336" w:hanging="8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7200" w:hanging="8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7920" w:hanging="648"/>
      </w:pPr>
      <w:rPr>
        <w:rFonts w:hint="default"/>
      </w:rPr>
    </w:lvl>
  </w:abstractNum>
  <w:abstractNum w:abstractNumId="5" w15:restartNumberingAfterBreak="0">
    <w:nsid w:val="7F5D5F36"/>
    <w:multiLevelType w:val="multilevel"/>
    <w:tmpl w:val="19263746"/>
    <w:lvl w:ilvl="0">
      <w:start w:val="1"/>
      <w:numFmt w:val="upperLetter"/>
      <w:lvlText w:val="%1."/>
      <w:lvlJc w:val="left"/>
      <w:pPr>
        <w:tabs>
          <w:tab w:val="num" w:pos="432"/>
        </w:tabs>
        <w:ind w:left="864" w:hanging="864"/>
      </w:pPr>
      <w:rPr>
        <w:rFonts w:ascii="Times New Roman" w:hAnsi="Times New Roman" w:cs="Times New Roman" w:hint="default"/>
        <w:b/>
        <w:i w:val="0"/>
        <w:caps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82"/>
        </w:tabs>
        <w:ind w:left="882" w:hanging="432"/>
      </w:pPr>
      <w:rPr>
        <w:rFonts w:ascii="Times New Roman" w:hAnsi="Times New Roman" w:cs="Times New Roman" w:hint="default"/>
        <w:b/>
        <w:i w:val="0"/>
        <w:caps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1728"/>
        </w:tabs>
        <w:ind w:left="2448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3600" w:hanging="12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475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5616" w:hanging="10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6336" w:hanging="8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7200" w:hanging="8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7920" w:hanging="64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81"/>
    <w:rsid w:val="00093C29"/>
    <w:rsid w:val="000C7C90"/>
    <w:rsid w:val="00126381"/>
    <w:rsid w:val="00133253"/>
    <w:rsid w:val="004A733A"/>
    <w:rsid w:val="00554F20"/>
    <w:rsid w:val="006F6F25"/>
    <w:rsid w:val="00724B20"/>
    <w:rsid w:val="00745AEA"/>
    <w:rsid w:val="007E7EA0"/>
    <w:rsid w:val="008E7B1F"/>
    <w:rsid w:val="00A05634"/>
    <w:rsid w:val="00A1792A"/>
    <w:rsid w:val="00C758A6"/>
    <w:rsid w:val="00C9035B"/>
    <w:rsid w:val="00F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BE47"/>
  <w15:chartTrackingRefBased/>
  <w15:docId w15:val="{0620979E-19B7-4B4E-B295-E89995FD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6381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6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6381"/>
    <w:rPr>
      <w:rFonts w:ascii="TimesNewRomanPS" w:eastAsia="Times New Roman" w:hAnsi="TimesNewRomanPS" w:cs="Times New Roman"/>
      <w:sz w:val="20"/>
      <w:szCs w:val="20"/>
    </w:rPr>
  </w:style>
  <w:style w:type="character" w:styleId="PageNumber">
    <w:name w:val="page number"/>
    <w:basedOn w:val="DefaultParagraphFont"/>
    <w:rsid w:val="00126381"/>
  </w:style>
  <w:style w:type="paragraph" w:styleId="ListParagraph">
    <w:name w:val="List Paragraph"/>
    <w:basedOn w:val="Normal"/>
    <w:uiPriority w:val="34"/>
    <w:qFormat/>
    <w:rsid w:val="0012638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7E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EA0"/>
    <w:rPr>
      <w:rFonts w:ascii="TimesNewRomanPS" w:eastAsia="Times New Roman" w:hAnsi="TimesNewRomanP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 Thathi</dc:creator>
  <cp:keywords/>
  <dc:description/>
  <cp:lastModifiedBy>Christopher Kleminich</cp:lastModifiedBy>
  <cp:revision>4</cp:revision>
  <dcterms:created xsi:type="dcterms:W3CDTF">2017-06-30T21:40:00Z</dcterms:created>
  <dcterms:modified xsi:type="dcterms:W3CDTF">2017-06-30T22:13:00Z</dcterms:modified>
</cp:coreProperties>
</file>