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720"/>
        </w:tabs>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GOVERNOR'S REGULATORY REVIEW COUNCIL</w:t>
      </w:r>
    </w:p>
    <w:p w:rsidR="00000000" w:rsidDel="00000000" w:rsidP="00000000" w:rsidRDefault="00000000" w:rsidRPr="00000000" w14:paraId="00000001">
      <w:pPr>
        <w:widowControl w:val="0"/>
        <w:spacing w:after="0" w:before="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 OF PUBLIC MEETING AND AGENDA – </w:t>
      </w:r>
      <w:r w:rsidDel="00000000" w:rsidR="00000000" w:rsidRPr="00000000">
        <w:rPr>
          <w:rFonts w:ascii="Times New Roman" w:cs="Times New Roman" w:eastAsia="Times New Roman" w:hAnsi="Times New Roman"/>
          <w:b w:val="1"/>
          <w:rtl w:val="0"/>
        </w:rPr>
        <w:t xml:space="preserve">June 5, 2018</w:t>
      </w:r>
      <w:r w:rsidDel="00000000" w:rsidR="00000000" w:rsidRPr="00000000">
        <w:rPr>
          <w:rtl w:val="0"/>
        </w:rPr>
      </w:r>
    </w:p>
    <w:p w:rsidR="00000000" w:rsidDel="00000000" w:rsidP="00000000" w:rsidRDefault="00000000" w:rsidRPr="00000000" w14:paraId="00000002">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A.R.S. § 38-431.02, notice is hereby given to members of the Governor’s Regulatory Review Council (Council) and to the general public that the Council will hold a meeting, open to the public, on </w:t>
      </w:r>
      <w:r w:rsidDel="00000000" w:rsidR="00000000" w:rsidRPr="00000000">
        <w:rPr>
          <w:rFonts w:ascii="Times New Roman" w:cs="Times New Roman" w:eastAsia="Times New Roman" w:hAnsi="Times New Roman"/>
          <w:b w:val="1"/>
          <w:rtl w:val="0"/>
        </w:rPr>
        <w:t xml:space="preserve">Tuesday, June 5, 2018 at 10:00 a.m.</w:t>
      </w:r>
      <w:r w:rsidDel="00000000" w:rsidR="00000000" w:rsidRPr="00000000">
        <w:rPr>
          <w:rFonts w:ascii="Times New Roman" w:cs="Times New Roman" w:eastAsia="Times New Roman" w:hAnsi="Times New Roman"/>
          <w:rtl w:val="0"/>
        </w:rPr>
        <w:t xml:space="preserve"> at the </w:t>
      </w:r>
      <w:r w:rsidDel="00000000" w:rsidR="00000000" w:rsidRPr="00000000">
        <w:rPr>
          <w:rFonts w:ascii="Times New Roman" w:cs="Times New Roman" w:eastAsia="Times New Roman" w:hAnsi="Times New Roman"/>
          <w:b w:val="1"/>
          <w:rtl w:val="0"/>
        </w:rPr>
        <w:t xml:space="preserve">Arizona Department of Administration</w:t>
      </w:r>
      <w:r w:rsidDel="00000000" w:rsidR="00000000" w:rsidRPr="00000000">
        <w:rPr>
          <w:rFonts w:ascii="Times New Roman" w:cs="Times New Roman" w:eastAsia="Times New Roman" w:hAnsi="Times New Roman"/>
          <w:rtl w:val="0"/>
        </w:rPr>
        <w:t xml:space="preserve">, 100 N. 15th Avenue, Room 300, Phoenix, AZ. For more information, please call (602) 542-2058.  </w:t>
      </w:r>
    </w:p>
    <w:p w:rsidR="00000000" w:rsidDel="00000000" w:rsidP="00000000" w:rsidRDefault="00000000" w:rsidRPr="00000000" w14:paraId="00000004">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0"/>
        <w:tabs>
          <w:tab w:val="left" w:pos="540"/>
        </w:tabs>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Attention visitors (including agency personnel and members of the public)</w:t>
      </w:r>
      <w:r w:rsidDel="00000000" w:rsidR="00000000" w:rsidRPr="00000000">
        <w:rPr>
          <w:rFonts w:ascii="Times New Roman" w:cs="Times New Roman" w:eastAsia="Times New Roman" w:hAnsi="Times New Roman"/>
          <w:rtl w:val="0"/>
        </w:rPr>
        <w:t xml:space="preserve">: The Department of Administration has implemented building security measures at 100 N. 15th Avenue. All visitors who do not have a badge granting access to the building must go to the Badging Office on the first floor to be admitted as a guest. Please call (602) 542-2058 with any questions or concerns.</w:t>
        <w:br w:type="textWrapping"/>
      </w:r>
    </w:p>
    <w:p w:rsidR="00000000" w:rsidDel="00000000" w:rsidP="00000000" w:rsidRDefault="00000000" w:rsidRPr="00000000" w14:paraId="00000006">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Persons with a disability may request a reasonable accommodation, such as a sign language interpreter, by calling (602) 542-2058. Requests should be made as early as possible to allow time to arrange the accommodation.</w:t>
      </w:r>
    </w:p>
    <w:p w:rsidR="00000000" w:rsidDel="00000000" w:rsidP="00000000" w:rsidRDefault="00000000" w:rsidRPr="00000000" w14:paraId="00000007">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copy of the material provided to Council members (with the exception of material relating to possible executive sessions) is available for public inspection at the Council’s office, located at 100 N. 15th Avenue, Suite 305, Phoenix, AZ.</w:t>
      </w:r>
    </w:p>
    <w:p w:rsidR="00000000" w:rsidDel="00000000" w:rsidP="00000000" w:rsidRDefault="00000000" w:rsidRPr="00000000" w14:paraId="00000009">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A.R.S. § 38-431.03(A)(3), the Council may vote to go into executive session, which will not be open to the public, for the purpose of obtaining legal advice on any item on the agenda.</w:t>
      </w:r>
    </w:p>
    <w:p w:rsidR="00000000" w:rsidDel="00000000" w:rsidP="00000000" w:rsidRDefault="00000000" w:rsidRPr="00000000" w14:paraId="0000000B">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its discretion, the Council may consider and act upon any agenda item out of order. Members of the Council may appear by telephone. The agenda for the meeting (subject to change up to 24 hours before the meeting) is as follows: </w:t>
      </w:r>
    </w:p>
    <w:p w:rsidR="00000000" w:rsidDel="00000000" w:rsidP="00000000" w:rsidRDefault="00000000" w:rsidRPr="00000000" w14:paraId="0000000D">
      <w:pPr>
        <w:tabs>
          <w:tab w:val="left" w:pos="54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3"/>
        </w:numPr>
        <w:tabs>
          <w:tab w:val="left" w:pos="360"/>
        </w:tabs>
        <w:spacing w:after="0" w:before="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AND PLEDGE OF ALLEGIANCE</w:t>
      </w:r>
    </w:p>
    <w:p w:rsidR="00000000" w:rsidDel="00000000" w:rsidP="00000000" w:rsidRDefault="00000000" w:rsidRPr="00000000" w14:paraId="0000000F">
      <w:pPr>
        <w:tabs>
          <w:tab w:val="left" w:pos="360"/>
          <w:tab w:val="left" w:pos="540"/>
        </w:tabs>
        <w:spacing w:after="0" w:before="0" w:line="240" w:lineRule="auto"/>
        <w:ind w:left="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numPr>
          <w:ilvl w:val="0"/>
          <w:numId w:val="3"/>
        </w:numPr>
        <w:tabs>
          <w:tab w:val="left" w:pos="360"/>
          <w:tab w:val="left" w:pos="720"/>
        </w:tabs>
        <w:spacing w:after="0" w:before="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DISCLOSURE OF CONFLICTS OF INTEREST</w:t>
      </w:r>
    </w:p>
    <w:p w:rsidR="00000000" w:rsidDel="00000000" w:rsidP="00000000" w:rsidRDefault="00000000" w:rsidRPr="00000000" w14:paraId="00000011">
      <w:pPr>
        <w:tabs>
          <w:tab w:val="left" w:pos="360"/>
          <w:tab w:val="left" w:pos="72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numPr>
          <w:ilvl w:val="0"/>
          <w:numId w:val="3"/>
        </w:numPr>
        <w:tabs>
          <w:tab w:val="left" w:pos="360"/>
          <w:tab w:val="left" w:pos="720"/>
        </w:tabs>
        <w:spacing w:after="0" w:before="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CONSENT AGENDA ITEMS</w:t>
      </w:r>
    </w:p>
    <w:p w:rsidR="00000000" w:rsidDel="00000000" w:rsidP="00000000" w:rsidRDefault="00000000" w:rsidRPr="00000000" w14:paraId="00000013">
      <w:pPr>
        <w:tabs>
          <w:tab w:val="left" w:pos="360"/>
          <w:tab w:val="left" w:pos="72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Rules</w:t>
      </w:r>
    </w:p>
    <w:p w:rsidR="00000000" w:rsidDel="00000000" w:rsidP="00000000" w:rsidRDefault="00000000" w:rsidRPr="00000000" w14:paraId="00000015">
      <w:pPr>
        <w:tabs>
          <w:tab w:val="left" w:pos="360"/>
          <w:tab w:val="left" w:pos="72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numPr>
          <w:ilvl w:val="1"/>
          <w:numId w:val="1"/>
        </w:numPr>
        <w:tabs>
          <w:tab w:val="left" w:pos="360"/>
        </w:tabs>
        <w:spacing w:after="0" w:line="240" w:lineRule="auto"/>
        <w:ind w:left="810" w:hanging="360"/>
        <w:contextualSpacing w:val="1"/>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rtl w:val="0"/>
        </w:rPr>
        <w:t xml:space="preserve">BOARD OF TECHNICAL REGISTRATION (R-18-0601)</w:t>
      </w:r>
    </w:p>
    <w:p w:rsidR="00000000" w:rsidDel="00000000" w:rsidP="00000000" w:rsidRDefault="00000000" w:rsidRPr="00000000" w14:paraId="00000017">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4, Chapter 30, Article 1, General Provisions; Article 2, Registration Provisions; </w:t>
        <w:tab/>
        <w:t xml:space="preserve">    Article 3, Regulatory Provisions</w:t>
      </w:r>
    </w:p>
    <w:p w:rsidR="00000000" w:rsidDel="00000000" w:rsidP="00000000" w:rsidRDefault="00000000" w:rsidRPr="00000000" w14:paraId="000000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R4-30-101; R4-30-102; R4-30-106; R4-30-107; R4-30-120; R4-30-121; </w:t>
      </w:r>
    </w:p>
    <w:p w:rsidR="00000000" w:rsidDel="00000000" w:rsidP="00000000" w:rsidRDefault="00000000" w:rsidRPr="00000000" w14:paraId="000000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R4-30-123; R4-30-126; R4-30-201; R4-30-202; R4-30-203; R4-30-204;</w:t>
      </w:r>
    </w:p>
    <w:p w:rsidR="00000000" w:rsidDel="00000000" w:rsidP="00000000" w:rsidRDefault="00000000" w:rsidRPr="00000000" w14:paraId="000000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R4-30-208; R4-30-209; R4-30-210; R4-30-214; R4-30-222; R4-30-242;</w:t>
      </w:r>
    </w:p>
    <w:p w:rsidR="00000000" w:rsidDel="00000000" w:rsidP="00000000" w:rsidRDefault="00000000" w:rsidRPr="00000000" w14:paraId="00000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R4-30-247; R4-30-254; R4-30-282; R4-30-284; R4-30-301; R4-30-301.01; </w:t>
      </w:r>
    </w:p>
    <w:p w:rsidR="00000000" w:rsidDel="00000000" w:rsidP="00000000" w:rsidRDefault="00000000" w:rsidRPr="00000000" w14:paraId="000000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R4-30-303; R4-30-304; Appendix A</w:t>
      </w:r>
    </w:p>
    <w:p w:rsidR="00000000" w:rsidDel="00000000" w:rsidP="00000000" w:rsidRDefault="00000000" w:rsidRPr="00000000" w14:paraId="000000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Repeal:</w:t>
        <w:tab/>
      </w:r>
      <w:r w:rsidDel="00000000" w:rsidR="00000000" w:rsidRPr="00000000">
        <w:rPr>
          <w:rFonts w:ascii="Times New Roman" w:cs="Times New Roman" w:eastAsia="Times New Roman" w:hAnsi="Times New Roman"/>
          <w:rtl w:val="0"/>
        </w:rPr>
        <w:t xml:space="preserve">R4-30-103; R4-30-202.01; R4-30-252; R4-30-262; R4-30-264; R4-30-270; </w:t>
      </w:r>
    </w:p>
    <w:p w:rsidR="00000000" w:rsidDel="00000000" w:rsidP="00000000" w:rsidRDefault="00000000" w:rsidRPr="00000000" w14:paraId="000000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R4-30-271; R4-30-272; R4-30-305; Appendix B</w:t>
        <w:tab/>
        <w:tab/>
      </w:r>
    </w:p>
    <w:p w:rsidR="00000000" w:rsidDel="00000000" w:rsidP="00000000" w:rsidRDefault="00000000" w:rsidRPr="00000000" w14:paraId="00000020">
      <w:pPr>
        <w:widowControl w:val="0"/>
        <w:tabs>
          <w:tab w:val="left" w:pos="360"/>
        </w:tabs>
        <w:spacing w:after="0" w:line="240" w:lineRule="auto"/>
        <w:ind w:left="2874" w:hanging="201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numPr>
          <w:ilvl w:val="1"/>
          <w:numId w:val="1"/>
        </w:numPr>
        <w:tabs>
          <w:tab w:val="left" w:pos="900"/>
        </w:tabs>
        <w:spacing w:after="0" w:line="240" w:lineRule="auto"/>
        <w:ind w:left="810" w:hanging="360"/>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rtl w:val="0"/>
        </w:rPr>
        <w:t xml:space="preserve">DEPARTMENT OF HEALTH SERVICES (R-18-0602)</w:t>
      </w:r>
    </w:p>
    <w:p w:rsidR="00000000" w:rsidDel="00000000" w:rsidP="00000000" w:rsidRDefault="00000000" w:rsidRPr="00000000" w14:paraId="00000022">
      <w:pPr>
        <w:tabs>
          <w:tab w:val="left" w:pos="900"/>
        </w:tabs>
        <w:spacing w:after="0" w:line="240" w:lineRule="auto"/>
        <w:ind w:left="882"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9, Chapter 8, Article 1, Food and Drink</w:t>
      </w:r>
      <w:r w:rsidDel="00000000" w:rsidR="00000000" w:rsidRPr="00000000">
        <w:rPr>
          <w:rtl w:val="0"/>
        </w:rPr>
      </w:r>
    </w:p>
    <w:p w:rsidR="00000000" w:rsidDel="00000000" w:rsidP="00000000" w:rsidRDefault="00000000" w:rsidRPr="00000000" w14:paraId="00000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64" w:hanging="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tabs>
          <w:tab w:val="left" w:pos="-1440"/>
          <w:tab w:val="left" w:pos="-72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 xml:space="preserve">Amend:</w:t>
      </w:r>
      <w:r w:rsidDel="00000000" w:rsidR="00000000" w:rsidRPr="00000000">
        <w:rPr>
          <w:rFonts w:ascii="Times New Roman" w:cs="Times New Roman" w:eastAsia="Times New Roman" w:hAnsi="Times New Roman"/>
          <w:rtl w:val="0"/>
        </w:rPr>
        <w:tab/>
        <w:t xml:space="preserve">R9-8-102</w:t>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10" w:hanging="360"/>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rtl w:val="0"/>
        </w:rPr>
        <w:t xml:space="preserve">DEPARTMENT OF ECONOMIC SECURITY (R-18-0603)</w:t>
        <w:br w:type="textWrapping"/>
      </w:r>
      <w:r w:rsidDel="00000000" w:rsidR="00000000" w:rsidRPr="00000000">
        <w:rPr>
          <w:rFonts w:ascii="Times New Roman" w:cs="Times New Roman" w:eastAsia="Times New Roman" w:hAnsi="Times New Roman"/>
          <w:rtl w:val="0"/>
        </w:rPr>
        <w:t xml:space="preserve">Title 6, Chapter 6, Article 3, Eligibility for Developmental Disabilities Services; Article 5, Admission/Redetermination/ Termination</w:t>
      </w:r>
    </w:p>
    <w:p w:rsidR="00000000" w:rsidDel="00000000" w:rsidP="00000000" w:rsidRDefault="00000000" w:rsidRPr="00000000" w14:paraId="00000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R6-6-302; R6-6-303</w:t>
      </w:r>
    </w:p>
    <w:p w:rsidR="00000000" w:rsidDel="00000000" w:rsidP="00000000" w:rsidRDefault="00000000" w:rsidRPr="00000000" w14:paraId="000000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Section:</w:t>
        <w:tab/>
      </w:r>
      <w:r w:rsidDel="00000000" w:rsidR="00000000" w:rsidRPr="00000000">
        <w:rPr>
          <w:rFonts w:ascii="Times New Roman" w:cs="Times New Roman" w:eastAsia="Times New Roman" w:hAnsi="Times New Roman"/>
          <w:rtl w:val="0"/>
        </w:rPr>
        <w:t xml:space="preserve">R6-6-301; R6-6-304; R6-6-305; R6-6-306; R6-6-307; R6-6-308; R6-6-309</w:t>
      </w:r>
      <w:r w:rsidDel="00000000" w:rsidR="00000000" w:rsidRPr="00000000">
        <w:rPr>
          <w:rtl w:val="0"/>
        </w:rPr>
      </w:r>
    </w:p>
    <w:p w:rsidR="00000000" w:rsidDel="00000000" w:rsidP="00000000" w:rsidRDefault="00000000" w:rsidRPr="00000000" w14:paraId="000000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Renumber:</w:t>
        <w:tab/>
      </w:r>
      <w:r w:rsidDel="00000000" w:rsidR="00000000" w:rsidRPr="00000000">
        <w:rPr>
          <w:rFonts w:ascii="Times New Roman" w:cs="Times New Roman" w:eastAsia="Times New Roman" w:hAnsi="Times New Roman"/>
          <w:rtl w:val="0"/>
        </w:rPr>
        <w:t xml:space="preserve">R6-6-302; R6-6-303</w:t>
      </w:r>
      <w:r w:rsidDel="00000000" w:rsidR="00000000" w:rsidRPr="00000000">
        <w:rPr>
          <w:rtl w:val="0"/>
        </w:rPr>
      </w:r>
    </w:p>
    <w:p w:rsidR="00000000" w:rsidDel="00000000" w:rsidP="00000000" w:rsidRDefault="00000000" w:rsidRPr="00000000" w14:paraId="0000002B">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Repeal:</w:t>
        <w:tab/>
      </w:r>
      <w:r w:rsidDel="00000000" w:rsidR="00000000" w:rsidRPr="00000000">
        <w:rPr>
          <w:rFonts w:ascii="Times New Roman" w:cs="Times New Roman" w:eastAsia="Times New Roman" w:hAnsi="Times New Roman"/>
          <w:rtl w:val="0"/>
        </w:rPr>
        <w:t xml:space="preserve">R6-6-303; Article 5; R6-6-501; R6-6-502; R6-6-503; R6-6-504; R6-6-505</w:t>
      </w: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2C">
      <w:pPr>
        <w:spacing w:after="0" w:line="240" w:lineRule="auto"/>
        <w:ind w:left="864" w:hanging="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10" w:hanging="360"/>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rtl w:val="0"/>
        </w:rPr>
        <w:t xml:space="preserve">ARIZONA STATE RETIREMENT SYSTEM (R-18-0604)</w:t>
        <w:br w:type="textWrapping"/>
      </w:r>
      <w:r w:rsidDel="00000000" w:rsidR="00000000" w:rsidRPr="00000000">
        <w:rPr>
          <w:rFonts w:ascii="Times New Roman" w:cs="Times New Roman" w:eastAsia="Times New Roman" w:hAnsi="Times New Roman"/>
          <w:rtl w:val="0"/>
        </w:rPr>
        <w:t xml:space="preserve">Title 2, Chapter 8, Article 1, Retirement System</w:t>
      </w:r>
    </w:p>
    <w:p w:rsidR="00000000" w:rsidDel="00000000" w:rsidP="00000000" w:rsidRDefault="00000000" w:rsidRPr="00000000" w14:paraId="000000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Amend</w:t>
      </w:r>
      <w:r w:rsidDel="00000000" w:rsidR="00000000" w:rsidRPr="00000000">
        <w:rPr>
          <w:rFonts w:ascii="Times New Roman" w:cs="Times New Roman" w:eastAsia="Times New Roman" w:hAnsi="Times New Roman"/>
          <w:rtl w:val="0"/>
        </w:rPr>
        <w:t xml:space="preserve">:</w:t>
        <w:tab/>
        <w:t xml:space="preserve">R2-8-104; R2-8-116; R2-8-118; R2-8-122; R2-8-124; R2-8-125</w:t>
      </w:r>
    </w:p>
    <w:p w:rsidR="00000000" w:rsidDel="00000000" w:rsidP="00000000" w:rsidRDefault="00000000" w:rsidRPr="00000000" w14:paraId="00000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10" w:hanging="360"/>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rtl w:val="0"/>
        </w:rPr>
        <w:t xml:space="preserve">DEPARTMENT OF ENVIRONMENTAL QUALITY (R-18-0605)</w:t>
      </w:r>
    </w:p>
    <w:p w:rsidR="00000000" w:rsidDel="00000000" w:rsidP="00000000" w:rsidRDefault="00000000" w:rsidRPr="00000000" w14:paraId="00000032">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18, Chapter 2, Article 7, Existing Stationary Source Performance Standards;         </w:t>
        <w:tab/>
        <w:t xml:space="preserve">   Article 9, New Source Performance Standards</w:t>
      </w:r>
    </w:p>
    <w:p w:rsidR="00000000" w:rsidDel="00000000" w:rsidP="00000000" w:rsidRDefault="00000000" w:rsidRPr="00000000" w14:paraId="00000033">
      <w:pPr>
        <w:widowControl w:val="0"/>
        <w:tabs>
          <w:tab w:val="left" w:pos="36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tabs>
          <w:tab w:val="left" w:pos="360"/>
        </w:tabs>
        <w:spacing w:after="0" w:line="240" w:lineRule="auto"/>
        <w:ind w:left="720" w:firstLine="0"/>
        <w:contextualSpacing w:val="0"/>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Amend</w:t>
      </w:r>
      <w:r w:rsidDel="00000000" w:rsidR="00000000" w:rsidRPr="00000000">
        <w:rPr>
          <w:rFonts w:ascii="Times New Roman" w:cs="Times New Roman" w:eastAsia="Times New Roman" w:hAnsi="Times New Roman"/>
          <w:rtl w:val="0"/>
        </w:rPr>
        <w:t xml:space="preserve">:</w:t>
        <w:tab/>
        <w:t xml:space="preserve">R18-2-731; R18-2-901</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0" w:hanging="72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Five-Year-Review Reports:</w:t>
      </w:r>
    </w:p>
    <w:p w:rsidR="00000000" w:rsidDel="00000000" w:rsidP="00000000" w:rsidRDefault="00000000" w:rsidRPr="00000000" w14:paraId="00000037">
      <w:pPr>
        <w:widowControl w:val="0"/>
        <w:tabs>
          <w:tab w:val="left" w:pos="360"/>
          <w:tab w:val="left" w:pos="990"/>
        </w:tabs>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 w:val="left" w:pos="450"/>
        </w:tabs>
        <w:spacing w:after="0" w:before="0" w:line="240" w:lineRule="auto"/>
        <w:ind w:left="810" w:right="0" w:hanging="360"/>
        <w:contextualSpacing w:val="1"/>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DEPARTMENT OF </w:t>
      </w:r>
      <w:r w:rsidDel="00000000" w:rsidR="00000000" w:rsidRPr="00000000">
        <w:rPr>
          <w:rFonts w:ascii="Times New Roman" w:cs="Times New Roman" w:eastAsia="Times New Roman" w:hAnsi="Times New Roman"/>
          <w:b w:val="1"/>
          <w:rtl w:val="0"/>
        </w:rPr>
        <w:t xml:space="preserve">CHILD SAFETY</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(F-18-0</w:t>
      </w:r>
      <w:r w:rsidDel="00000000" w:rsidR="00000000" w:rsidRPr="00000000">
        <w:rPr>
          <w:rFonts w:ascii="Times New Roman" w:cs="Times New Roman" w:eastAsia="Times New Roman" w:hAnsi="Times New Roman"/>
          <w:b w:val="1"/>
          <w:rtl w:val="0"/>
        </w:rPr>
        <w:t xml:space="preserve">602</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1080"/>
        </w:tabs>
        <w:spacing w:after="0" w:before="0" w:line="240" w:lineRule="auto"/>
        <w:ind w:left="81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21, Chapter 1, Article 3, Appeals and Hearing Procedures; Article 5, Substantiation of Report Findings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numPr>
          <w:ilvl w:val="0"/>
          <w:numId w:val="3"/>
        </w:numPr>
        <w:spacing w:after="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CONSIDERATION AND DISCUSSION OF RULES</w:t>
        <w:tab/>
      </w:r>
    </w:p>
    <w:p w:rsidR="00000000" w:rsidDel="00000000" w:rsidP="00000000" w:rsidRDefault="00000000" w:rsidRPr="00000000" w14:paraId="0000003C">
      <w:pPr>
        <w:widowControl w:val="0"/>
        <w:tabs>
          <w:tab w:val="left" w:pos="360"/>
        </w:tabs>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widowControl w:val="0"/>
        <w:tabs>
          <w:tab w:val="left" w:pos="360"/>
        </w:tabs>
        <w:spacing w:after="0" w:line="240" w:lineRule="auto"/>
        <w:ind w:left="720" w:firstLine="9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AHCCCS (R-18-0506)</w:t>
      </w:r>
      <w:r w:rsidDel="00000000" w:rsidR="00000000" w:rsidRPr="00000000">
        <w:rPr>
          <w:rtl w:val="0"/>
        </w:rPr>
      </w:r>
    </w:p>
    <w:p w:rsidR="00000000" w:rsidDel="00000000" w:rsidP="00000000" w:rsidRDefault="00000000" w:rsidRPr="00000000" w14:paraId="0000003E">
      <w:pPr>
        <w:widowControl w:val="0"/>
        <w:tabs>
          <w:tab w:val="left" w:pos="360"/>
        </w:tabs>
        <w:spacing w:after="0" w:line="240" w:lineRule="auto"/>
        <w:ind w:left="810" w:hanging="1350"/>
        <w:contextualSpacing w:val="0"/>
        <w:rPr>
          <w:rFonts w:ascii="Times New Roman" w:cs="Times New Roman" w:eastAsia="Times New Roman" w:hAnsi="Times New Roman"/>
        </w:rPr>
      </w:pPr>
      <w:bookmarkStart w:colFirst="0" w:colLast="0" w:name="_mowzy3w322l0" w:id="0"/>
      <w:bookmarkEnd w:id="0"/>
      <w:r w:rsidDel="00000000" w:rsidR="00000000" w:rsidRPr="00000000">
        <w:rPr>
          <w:rFonts w:ascii="Times New Roman" w:cs="Times New Roman" w:eastAsia="Times New Roman" w:hAnsi="Times New Roman"/>
          <w:b w:val="1"/>
          <w:rtl w:val="0"/>
        </w:rPr>
        <w:t xml:space="preserve">               </w:t>
        <w:tab/>
        <w:tab/>
      </w:r>
      <w:r w:rsidDel="00000000" w:rsidR="00000000" w:rsidRPr="00000000">
        <w:rPr>
          <w:rFonts w:ascii="Times New Roman" w:cs="Times New Roman" w:eastAsia="Times New Roman" w:hAnsi="Times New Roman"/>
          <w:rtl w:val="0"/>
        </w:rPr>
        <w:t xml:space="preserve">Title 9, Chapter 22, Articles 2, 3, 7, 12, 15, and 19</w:t>
      </w:r>
    </w:p>
    <w:p w:rsidR="00000000" w:rsidDel="00000000" w:rsidP="00000000" w:rsidRDefault="00000000" w:rsidRPr="00000000" w14:paraId="0000003F">
      <w:pPr>
        <w:widowControl w:val="0"/>
        <w:tabs>
          <w:tab w:val="left" w:pos="360"/>
        </w:tabs>
        <w:spacing w:after="0" w:line="240" w:lineRule="auto"/>
        <w:ind w:left="1440" w:hanging="1350"/>
        <w:contextualSpacing w:val="0"/>
        <w:rPr>
          <w:rFonts w:ascii="Times New Roman" w:cs="Times New Roman" w:eastAsia="Times New Roman" w:hAnsi="Times New Roman"/>
        </w:rPr>
      </w:pPr>
      <w:bookmarkStart w:colFirst="0" w:colLast="0" w:name="_339yg2vvjx7q" w:id="1"/>
      <w:bookmarkEnd w:id="1"/>
      <w:r w:rsidDel="00000000" w:rsidR="00000000" w:rsidRPr="00000000">
        <w:rPr>
          <w:rFonts w:ascii="Times New Roman" w:cs="Times New Roman" w:eastAsia="Times New Roman" w:hAnsi="Times New Roman"/>
          <w:rtl w:val="0"/>
        </w:rPr>
        <w:tab/>
        <w:t xml:space="preserve">        Title 9, Chapter 28, Article 4</w:t>
      </w:r>
    </w:p>
    <w:p w:rsidR="00000000" w:rsidDel="00000000" w:rsidP="00000000" w:rsidRDefault="00000000" w:rsidRPr="00000000" w14:paraId="00000040">
      <w:pPr>
        <w:widowControl w:val="0"/>
        <w:tabs>
          <w:tab w:val="left" w:pos="360"/>
        </w:tabs>
        <w:spacing w:after="0" w:line="240" w:lineRule="auto"/>
        <w:ind w:left="1440" w:hanging="1350"/>
        <w:contextualSpacing w:val="0"/>
        <w:rPr>
          <w:rFonts w:ascii="Times New Roman" w:cs="Times New Roman" w:eastAsia="Times New Roman" w:hAnsi="Times New Roman"/>
        </w:rPr>
      </w:pPr>
      <w:bookmarkStart w:colFirst="0" w:colLast="0" w:name="_7tq8dz4vm0ne" w:id="2"/>
      <w:bookmarkEnd w:id="2"/>
      <w:r w:rsidDel="00000000" w:rsidR="00000000" w:rsidRPr="00000000">
        <w:rPr>
          <w:rFonts w:ascii="Times New Roman" w:cs="Times New Roman" w:eastAsia="Times New Roman" w:hAnsi="Times New Roman"/>
          <w:rtl w:val="0"/>
        </w:rPr>
        <w:tab/>
        <w:t xml:space="preserve">        Title 9, Chapter 29, Article 2</w:t>
      </w:r>
    </w:p>
    <w:p w:rsidR="00000000" w:rsidDel="00000000" w:rsidP="00000000" w:rsidRDefault="00000000" w:rsidRPr="00000000" w14:paraId="00000041">
      <w:pPr>
        <w:widowControl w:val="0"/>
        <w:tabs>
          <w:tab w:val="left" w:pos="360"/>
        </w:tabs>
        <w:spacing w:after="0" w:line="240" w:lineRule="auto"/>
        <w:ind w:left="1440" w:hanging="1350"/>
        <w:contextualSpacing w:val="0"/>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2">
      <w:pPr>
        <w:widowControl w:val="0"/>
        <w:tabs>
          <w:tab w:val="left" w:pos="360"/>
        </w:tabs>
        <w:spacing w:after="0" w:line="240" w:lineRule="auto"/>
        <w:ind w:left="810" w:hanging="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rtl w:val="0"/>
        </w:rPr>
        <w:t xml:space="preserve">Amend:</w:t>
      </w:r>
      <w:r w:rsidDel="00000000" w:rsidR="00000000" w:rsidRPr="00000000">
        <w:rPr>
          <w:rFonts w:ascii="Times New Roman" w:cs="Times New Roman" w:eastAsia="Times New Roman" w:hAnsi="Times New Roman"/>
          <w:rtl w:val="0"/>
        </w:rPr>
        <w:t xml:space="preserve"> </w:t>
        <w:tab/>
        <w:t xml:space="preserve">R9-22-202; R9-22-703; R9-22-1202; R9-22-1501; R9-28-401.01; R9-29-210</w:t>
      </w:r>
    </w:p>
    <w:p w:rsidR="00000000" w:rsidDel="00000000" w:rsidP="00000000" w:rsidRDefault="00000000" w:rsidRPr="00000000" w14:paraId="00000043">
      <w:pPr>
        <w:widowControl w:val="0"/>
        <w:tabs>
          <w:tab w:val="left" w:pos="360"/>
        </w:tabs>
        <w:spacing w:after="0" w:line="240" w:lineRule="auto"/>
        <w:ind w:left="810" w:hanging="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rtl w:val="0"/>
        </w:rPr>
        <w:t xml:space="preserve">Repeal:</w:t>
        <w:tab/>
      </w:r>
      <w:r w:rsidDel="00000000" w:rsidR="00000000" w:rsidRPr="00000000">
        <w:rPr>
          <w:rFonts w:ascii="Times New Roman" w:cs="Times New Roman" w:eastAsia="Times New Roman" w:hAnsi="Times New Roman"/>
          <w:rtl w:val="0"/>
        </w:rPr>
        <w:t xml:space="preserve">R9-22-303; R9-22-1910</w:t>
      </w:r>
    </w:p>
    <w:p w:rsidR="00000000" w:rsidDel="00000000" w:rsidP="00000000" w:rsidRDefault="00000000" w:rsidRPr="00000000" w14:paraId="00000044">
      <w:pPr>
        <w:tabs>
          <w:tab w:val="left" w:pos="540"/>
          <w:tab w:val="left" w:pos="720"/>
        </w:tabs>
        <w:spacing w:after="0" w:before="0" w:line="240" w:lineRule="auto"/>
        <w:ind w:left="360" w:hanging="3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40"/>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CONSIDERATION AND DISCUSSION OF FIVE-YEAR REVIEW REPORTS</w:t>
      </w:r>
      <w:r w:rsidDel="00000000" w:rsidR="00000000" w:rsidRPr="00000000">
        <w:rPr>
          <w:rtl w:val="0"/>
        </w:rPr>
      </w:r>
    </w:p>
    <w:p w:rsidR="00000000" w:rsidDel="00000000" w:rsidP="00000000" w:rsidRDefault="00000000" w:rsidRPr="00000000" w14:paraId="00000046">
      <w:pPr>
        <w:tabs>
          <w:tab w:val="left" w:pos="720"/>
        </w:tabs>
        <w:spacing w:after="0" w:line="240" w:lineRule="auto"/>
        <w:ind w:left="360" w:hanging="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CONSIDERATION OF DISCUSSION OF THE REVIEW OF RULES OUTSIDE OF FIVE-YEAR REVIEW PROCESS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ARIZONA STATE RETIREMENT SYSTEM</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R2-8-901: Definitions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R2-8-902: Compensation for Remitting Contributions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R2-8-903: Compensation for Pension Calculations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R2-8-904: Accrual of Credited Service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R2-8-905: Compensation from An Additional Employer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DISCUSSION OF </w:t>
      </w:r>
      <w:r w:rsidDel="00000000" w:rsidR="00000000" w:rsidRPr="00000000">
        <w:rPr>
          <w:rFonts w:ascii="Times New Roman" w:cs="Times New Roman" w:eastAsia="Times New Roman" w:hAnsi="Times New Roman"/>
          <w:rtl w:val="0"/>
        </w:rPr>
        <w:t xml:space="preserve">POSSIBLE UPDATES TO COUNCIL RULES</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gjdgxs" w:id="3"/>
      <w:bookmarkEnd w:id="3"/>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DISCUSSION OF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ARIZONA ADVOCACY NETWORK, ET AL. V. STATE OF ARIZONA, ET AL.</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ADJOURNMENT</w:t>
      </w:r>
    </w:p>
    <w:sectPr>
      <w:headerReference r:id="rId6" w:type="default"/>
      <w:headerReference r:id="rId7" w:type="first"/>
      <w:headerReference r:id="rId8" w:type="even"/>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Page-</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Governor’s Regulatory Review Council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Notice of Public Meeting and Agenda for </w:t>
    </w:r>
    <w:r w:rsidDel="00000000" w:rsidR="00000000" w:rsidRPr="00000000">
      <w:rPr>
        <w:rFonts w:ascii="Times New Roman" w:cs="Times New Roman" w:eastAsia="Times New Roman" w:hAnsi="Times New Roman"/>
        <w:b w:val="1"/>
        <w:sz w:val="20"/>
        <w:szCs w:val="20"/>
        <w:rtl w:val="0"/>
      </w:rPr>
      <w:t xml:space="preserve">June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2018 Council Meeting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Page 2 - Governor’s Regulatory Review Council</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Notice of Public Meeting and Agenda for April 3, 2018 Council Meeting</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810" w:hanging="360"/>
      </w:pPr>
      <w:rPr>
        <w:b w:val="1"/>
      </w:rPr>
    </w:lvl>
    <w:lvl w:ilvl="2">
      <w:start w:val="1"/>
      <w:numFmt w:val="decimal"/>
      <w:lvlText w:val="%1.%2.%3"/>
      <w:lvlJc w:val="left"/>
      <w:pPr>
        <w:ind w:left="1620" w:hanging="720"/>
      </w:pPr>
      <w:rPr>
        <w:b w:val="1"/>
      </w:rPr>
    </w:lvl>
    <w:lvl w:ilvl="3">
      <w:start w:val="1"/>
      <w:numFmt w:val="decimal"/>
      <w:lvlText w:val="%1.%2.%3.%4"/>
      <w:lvlJc w:val="left"/>
      <w:pPr>
        <w:ind w:left="2070" w:hanging="720"/>
      </w:pPr>
      <w:rPr>
        <w:b w:val="1"/>
      </w:rPr>
    </w:lvl>
    <w:lvl w:ilvl="4">
      <w:start w:val="1"/>
      <w:numFmt w:val="decimal"/>
      <w:lvlText w:val="%1.%2.%3.%4.%5"/>
      <w:lvlJc w:val="left"/>
      <w:pPr>
        <w:ind w:left="2880" w:hanging="1080"/>
      </w:pPr>
      <w:rPr>
        <w:b w:val="1"/>
      </w:rPr>
    </w:lvl>
    <w:lvl w:ilvl="5">
      <w:start w:val="1"/>
      <w:numFmt w:val="decimal"/>
      <w:lvlText w:val="%1.%2.%3.%4.%5.%6"/>
      <w:lvlJc w:val="left"/>
      <w:pPr>
        <w:ind w:left="3330" w:hanging="1080"/>
      </w:pPr>
      <w:rPr>
        <w:b w:val="1"/>
      </w:rPr>
    </w:lvl>
    <w:lvl w:ilvl="6">
      <w:start w:val="1"/>
      <w:numFmt w:val="decimal"/>
      <w:lvlText w:val="%1.%2.%3.%4.%5.%6.%7"/>
      <w:lvlJc w:val="left"/>
      <w:pPr>
        <w:ind w:left="4140" w:hanging="1440"/>
      </w:pPr>
      <w:rPr>
        <w:b w:val="1"/>
      </w:rPr>
    </w:lvl>
    <w:lvl w:ilvl="7">
      <w:start w:val="1"/>
      <w:numFmt w:val="decimal"/>
      <w:lvlText w:val="%1.%2.%3.%4.%5.%6.%7.%8"/>
      <w:lvlJc w:val="left"/>
      <w:pPr>
        <w:ind w:left="4590" w:hanging="1440"/>
      </w:pPr>
      <w:rPr>
        <w:b w:val="1"/>
      </w:rPr>
    </w:lvl>
    <w:lvl w:ilvl="8">
      <w:start w:val="1"/>
      <w:numFmt w:val="decimal"/>
      <w:lvlText w:val="%1.%2.%3.%4.%5.%6.%7.%8.%9"/>
      <w:lvlJc w:val="left"/>
      <w:pPr>
        <w:ind w:left="5040" w:hanging="1440"/>
      </w:pPr>
      <w:rPr>
        <w:b w:val="1"/>
      </w:rPr>
    </w:lvl>
  </w:abstractNum>
  <w:abstractNum w:abstractNumId="2">
    <w:lvl w:ilvl="0">
      <w:start w:val="1"/>
      <w:numFmt w:val="decimal"/>
      <w:lvlText w:val="%1."/>
      <w:lvlJc w:val="left"/>
      <w:pPr>
        <w:ind w:left="720" w:hanging="360"/>
      </w:pPr>
      <w:rPr>
        <w:b w:val="1"/>
      </w:rPr>
    </w:lvl>
    <w:lvl w:ilvl="1">
      <w:start w:val="1"/>
      <w:numFmt w:val="decimal"/>
      <w:lvlText w:val="%1.%2"/>
      <w:lvlJc w:val="left"/>
      <w:pPr>
        <w:ind w:left="810" w:hanging="360"/>
      </w:pPr>
      <w:rPr/>
    </w:lvl>
    <w:lvl w:ilvl="2">
      <w:start w:val="1"/>
      <w:numFmt w:val="decimal"/>
      <w:lvlText w:val="%1.%2.%3"/>
      <w:lvlJc w:val="left"/>
      <w:pPr>
        <w:ind w:left="1260" w:hanging="720"/>
      </w:pPr>
      <w:rPr/>
    </w:lvl>
    <w:lvl w:ilvl="3">
      <w:start w:val="1"/>
      <w:numFmt w:val="decimal"/>
      <w:lvlText w:val="%1.%2.%3.%4"/>
      <w:lvlJc w:val="left"/>
      <w:pPr>
        <w:ind w:left="1350" w:hanging="720"/>
      </w:pPr>
      <w:rPr/>
    </w:lvl>
    <w:lvl w:ilvl="4">
      <w:start w:val="1"/>
      <w:numFmt w:val="decimal"/>
      <w:lvlText w:val="%1.%2.%3.%4.%5"/>
      <w:lvlJc w:val="left"/>
      <w:pPr>
        <w:ind w:left="1800" w:hanging="1080"/>
      </w:pPr>
      <w:rPr/>
    </w:lvl>
    <w:lvl w:ilvl="5">
      <w:start w:val="1"/>
      <w:numFmt w:val="decimal"/>
      <w:lvlText w:val="%1.%2.%3.%4.%5.%6"/>
      <w:lvlJc w:val="left"/>
      <w:pPr>
        <w:ind w:left="1890" w:hanging="1080"/>
      </w:pPr>
      <w:rPr/>
    </w:lvl>
    <w:lvl w:ilvl="6">
      <w:start w:val="1"/>
      <w:numFmt w:val="decimal"/>
      <w:lvlText w:val="%1.%2.%3.%4.%5.%6.%7"/>
      <w:lvlJc w:val="left"/>
      <w:pPr>
        <w:ind w:left="2340" w:hanging="1440"/>
      </w:pPr>
      <w:rPr/>
    </w:lvl>
    <w:lvl w:ilvl="7">
      <w:start w:val="1"/>
      <w:numFmt w:val="decimal"/>
      <w:lvlText w:val="%1.%2.%3.%4.%5.%6.%7.%8"/>
      <w:lvlJc w:val="left"/>
      <w:pPr>
        <w:ind w:left="2430" w:hanging="1440"/>
      </w:pPr>
      <w:rPr/>
    </w:lvl>
    <w:lvl w:ilvl="8">
      <w:start w:val="1"/>
      <w:numFmt w:val="decimal"/>
      <w:lvlText w:val="%1.%2.%3.%4.%5.%6.%7.%8.%9"/>
      <w:lvlJc w:val="left"/>
      <w:pPr>
        <w:ind w:left="2520" w:hanging="1440"/>
      </w:pPr>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580" w:hanging="360"/>
      </w:pPr>
      <w:rPr/>
    </w:lvl>
    <w:lvl w:ilvl="2">
      <w:start w:val="1"/>
      <w:numFmt w:val="lowerRoman"/>
      <w:lvlText w:val="%3."/>
      <w:lvlJc w:val="right"/>
      <w:pPr>
        <w:ind w:left="2300" w:hanging="180"/>
      </w:pPr>
      <w:rPr/>
    </w:lvl>
    <w:lvl w:ilvl="3">
      <w:start w:val="1"/>
      <w:numFmt w:val="decimal"/>
      <w:lvlText w:val="%4."/>
      <w:lvlJc w:val="left"/>
      <w:pPr>
        <w:ind w:left="3020" w:hanging="360"/>
      </w:pPr>
      <w:rPr/>
    </w:lvl>
    <w:lvl w:ilvl="4">
      <w:start w:val="1"/>
      <w:numFmt w:val="lowerLetter"/>
      <w:lvlText w:val="%5."/>
      <w:lvlJc w:val="left"/>
      <w:pPr>
        <w:ind w:left="3740" w:hanging="360"/>
      </w:pPr>
      <w:rPr/>
    </w:lvl>
    <w:lvl w:ilvl="5">
      <w:start w:val="1"/>
      <w:numFmt w:val="lowerRoman"/>
      <w:lvlText w:val="%6."/>
      <w:lvlJc w:val="right"/>
      <w:pPr>
        <w:ind w:left="4460" w:hanging="180"/>
      </w:pPr>
      <w:rPr/>
    </w:lvl>
    <w:lvl w:ilvl="6">
      <w:start w:val="1"/>
      <w:numFmt w:val="decimal"/>
      <w:lvlText w:val="%7."/>
      <w:lvlJc w:val="left"/>
      <w:pPr>
        <w:ind w:left="5180" w:hanging="360"/>
      </w:pPr>
      <w:rPr/>
    </w:lvl>
    <w:lvl w:ilvl="7">
      <w:start w:val="1"/>
      <w:numFmt w:val="lowerLetter"/>
      <w:lvlText w:val="%8."/>
      <w:lvlJc w:val="left"/>
      <w:pPr>
        <w:ind w:left="5900" w:hanging="360"/>
      </w:pPr>
      <w:rPr/>
    </w:lvl>
    <w:lvl w:ilvl="8">
      <w:start w:val="1"/>
      <w:numFmt w:val="lowerRoman"/>
      <w:lvlText w:val="%9."/>
      <w:lvlJc w:val="right"/>
      <w:pPr>
        <w:ind w:left="66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