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000000"/>
          <w:sz w:val="17"/>
          <w:szCs w:val="17"/>
        </w:rPr>
      </w:pPr>
      <w:r w:rsidDel="00000000" w:rsidR="00000000" w:rsidRPr="00000000">
        <w:rPr>
          <w:rtl w:val="0"/>
        </w:rPr>
      </w:r>
    </w:p>
    <w:p w:rsidR="00000000" w:rsidDel="00000000" w:rsidP="00000000" w:rsidRDefault="00000000" w:rsidRPr="00000000" w14:paraId="00000002">
      <w:pPr>
        <w:pStyle w:val="Heading1"/>
        <w:ind w:firstLine="940"/>
        <w:rPr>
          <w:u w:val="none"/>
        </w:rPr>
      </w:pPr>
      <w:r w:rsidDel="00000000" w:rsidR="00000000" w:rsidRPr="00000000">
        <w:rPr>
          <w:u w:val="none"/>
          <w:rtl w:val="0"/>
        </w:rPr>
        <w:t xml:space="preserve">NOTICE AND AGENDA OF THE PUBLIC HEARING MEETING OF THE INFRASTRUCTURE INVESTMENT AND JOBS ACT 40101(D)</w:t>
      </w:r>
    </w:p>
    <w:p w:rsidR="00000000" w:rsidDel="00000000" w:rsidP="00000000" w:rsidRDefault="00000000" w:rsidRPr="00000000" w14:paraId="00000003">
      <w:pPr>
        <w:pStyle w:val="Heading1"/>
        <w:ind w:firstLine="940"/>
        <w:rPr>
          <w:u w:val="none"/>
        </w:rPr>
      </w:pPr>
      <w:r w:rsidDel="00000000" w:rsidR="00000000" w:rsidRPr="00000000">
        <w:rPr>
          <w:u w:val="none"/>
          <w:rtl w:val="0"/>
        </w:rPr>
        <w:t xml:space="preserve">GRID RESILIENCE FORMULA GRANT</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8820"/>
        </w:tabs>
        <w:ind w:firstLine="720"/>
        <w:rPr>
          <w:b w:val="1"/>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8820"/>
        </w:tabs>
        <w:spacing w:before="5" w:lineRule="auto"/>
        <w:rPr>
          <w:b w:val="1"/>
          <w:color w:val="000000"/>
          <w:sz w:val="19"/>
          <w:szCs w:val="19"/>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8820"/>
        </w:tabs>
        <w:spacing w:before="1" w:lineRule="auto"/>
        <w:ind w:left="839" w:right="521" w:firstLine="720"/>
        <w:jc w:val="center"/>
        <w:rPr>
          <w:color w:val="000000"/>
        </w:rPr>
      </w:pPr>
      <w:r w:rsidDel="00000000" w:rsidR="00000000" w:rsidRPr="00000000">
        <w:rPr>
          <w:rtl w:val="0"/>
        </w:rPr>
        <w:t xml:space="preserve">Pursuant to  </w:t>
      </w:r>
      <w:r w:rsidDel="00000000" w:rsidR="00000000" w:rsidRPr="00000000">
        <w:rPr>
          <w:color w:val="000000"/>
          <w:rtl w:val="0"/>
        </w:rPr>
        <w:t xml:space="preserve">Arizona Revised Statutes (A.R.S.) § 38-431.02, notice is hereby given to the members of the general public that the ADOA will hold a public meeting</w:t>
      </w:r>
      <w:r w:rsidDel="00000000" w:rsidR="00000000" w:rsidRPr="00000000">
        <w:rPr>
          <w:b w:val="1"/>
          <w:color w:val="000000"/>
          <w:rtl w:val="0"/>
        </w:rPr>
        <w:t xml:space="preserve"> </w:t>
      </w:r>
      <w:r w:rsidDel="00000000" w:rsidR="00000000" w:rsidRPr="00000000">
        <w:rPr>
          <w:color w:val="000000"/>
          <w:rtl w:val="0"/>
        </w:rPr>
        <w:t xml:space="preserve">open to the public commencing on </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8820"/>
        </w:tabs>
        <w:spacing w:before="1" w:lineRule="auto"/>
        <w:ind w:left="839" w:right="521" w:firstLine="720"/>
        <w:jc w:val="center"/>
        <w:rPr>
          <w:color w:val="000000"/>
        </w:rPr>
      </w:pPr>
      <w:r w:rsidDel="00000000" w:rsidR="00000000" w:rsidRPr="00000000">
        <w:rPr>
          <w:b w:val="1"/>
          <w:rtl w:val="0"/>
        </w:rPr>
        <w:t xml:space="preserve">February 21, 2023</w:t>
      </w:r>
      <w:r w:rsidDel="00000000" w:rsidR="00000000" w:rsidRPr="00000000">
        <w:rPr>
          <w:b w:val="1"/>
          <w:color w:val="000000"/>
          <w:rtl w:val="0"/>
        </w:rPr>
        <w:t xml:space="preserve"> at </w:t>
      </w:r>
      <w:r w:rsidDel="00000000" w:rsidR="00000000" w:rsidRPr="00000000">
        <w:rPr>
          <w:b w:val="1"/>
          <w:rtl w:val="0"/>
        </w:rPr>
        <w:t xml:space="preserve">1</w:t>
      </w:r>
      <w:r w:rsidDel="00000000" w:rsidR="00000000" w:rsidRPr="00000000">
        <w:rPr>
          <w:b w:val="1"/>
          <w:color w:val="000000"/>
          <w:rtl w:val="0"/>
        </w:rPr>
        <w:t xml:space="preserve">:00 p.m. </w:t>
      </w:r>
      <w:r w:rsidDel="00000000" w:rsidR="00000000" w:rsidRPr="00000000">
        <w:rPr>
          <w:color w:val="000000"/>
          <w:rtl w:val="0"/>
        </w:rPr>
        <w:t xml:space="preserve">This </w:t>
      </w:r>
      <w:r w:rsidDel="00000000" w:rsidR="00000000" w:rsidRPr="00000000">
        <w:rPr>
          <w:rtl w:val="0"/>
        </w:rPr>
        <w:t xml:space="preserve">m</w:t>
      </w:r>
      <w:r w:rsidDel="00000000" w:rsidR="00000000" w:rsidRPr="00000000">
        <w:rPr>
          <w:color w:val="000000"/>
          <w:rtl w:val="0"/>
        </w:rPr>
        <w:t xml:space="preserve">eeting will be held in person and virtually.</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8820"/>
        </w:tabs>
        <w:rPr>
          <w:color w:val="000000"/>
          <w:sz w:val="24"/>
          <w:szCs w:val="24"/>
        </w:rPr>
      </w:pPr>
      <w:r w:rsidDel="00000000" w:rsidR="00000000" w:rsidRPr="00000000">
        <w:rPr>
          <w:rtl w:val="0"/>
        </w:rPr>
      </w:r>
    </w:p>
    <w:p w:rsidR="00000000" w:rsidDel="00000000" w:rsidP="00000000" w:rsidRDefault="00000000" w:rsidRPr="00000000" w14:paraId="00000009">
      <w:pPr>
        <w:pStyle w:val="Heading1"/>
        <w:tabs>
          <w:tab w:val="left" w:leader="none" w:pos="8820"/>
        </w:tabs>
        <w:spacing w:before="145" w:line="360" w:lineRule="auto"/>
        <w:ind w:right="840" w:firstLine="940"/>
        <w:rPr>
          <w:u w:val="none"/>
        </w:rPr>
      </w:pPr>
      <w:r w:rsidDel="00000000" w:rsidR="00000000" w:rsidRPr="00000000">
        <w:rPr>
          <w:rtl w:val="0"/>
        </w:rPr>
        <w:t xml:space="preserve">The following options will be available for public attendance. Details on available options</w:t>
      </w:r>
      <w:r w:rsidDel="00000000" w:rsidR="00000000" w:rsidRPr="00000000">
        <w:rPr>
          <w:u w:val="none"/>
          <w:rtl w:val="0"/>
        </w:rPr>
        <w:t xml:space="preserve"> </w:t>
      </w:r>
      <w:r w:rsidDel="00000000" w:rsidR="00000000" w:rsidRPr="00000000">
        <w:rPr>
          <w:rtl w:val="0"/>
        </w:rPr>
        <w:t xml:space="preserve">and associated instructions are included below:</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8820"/>
        </w:tabs>
        <w:spacing w:before="6" w:lineRule="auto"/>
        <w:rPr>
          <w:b w:val="1"/>
          <w:color w:val="000000"/>
          <w:sz w:val="24"/>
          <w:szCs w:val="24"/>
        </w:rPr>
      </w:pPr>
      <w:r w:rsidDel="00000000" w:rsidR="00000000" w:rsidRPr="00000000">
        <w:rPr>
          <w:b w:val="1"/>
          <w:color w:val="000000"/>
          <w:sz w:val="24"/>
          <w:szCs w:val="24"/>
          <w:rtl w:val="0"/>
        </w:rPr>
        <w:tab/>
        <w:tab/>
      </w:r>
    </w:p>
    <w:p w:rsidR="00000000" w:rsidDel="00000000" w:rsidP="00000000" w:rsidRDefault="00000000" w:rsidRPr="00000000" w14:paraId="0000000B">
      <w:pPr>
        <w:tabs>
          <w:tab w:val="left" w:leader="none" w:pos="8820"/>
        </w:tabs>
        <w:spacing w:before="90" w:lineRule="auto"/>
        <w:ind w:left="1164" w:right="805" w:firstLine="0"/>
        <w:jc w:val="center"/>
        <w:rPr>
          <w:b w:val="1"/>
        </w:rPr>
      </w:pPr>
      <w:r w:rsidDel="00000000" w:rsidR="00000000" w:rsidRPr="00000000">
        <w:rPr>
          <w:b w:val="1"/>
          <w:rtl w:val="0"/>
        </w:rPr>
        <w:t xml:space="preserve">Join in person – 1400 West Washington St, First Floor, Conference Room 1102A, 1102B and 1102C, Phoenix, Arizona 85007</w:t>
      </w:r>
    </w:p>
    <w:p w:rsidR="00000000" w:rsidDel="00000000" w:rsidP="00000000" w:rsidRDefault="00000000" w:rsidRPr="00000000" w14:paraId="0000000C">
      <w:pPr>
        <w:tabs>
          <w:tab w:val="left" w:leader="none" w:pos="8820"/>
        </w:tabs>
        <w:spacing w:before="161" w:lineRule="auto"/>
        <w:ind w:left="1143" w:right="805" w:firstLine="0"/>
        <w:jc w:val="center"/>
        <w:rPr>
          <w:b w:val="1"/>
        </w:rPr>
      </w:pPr>
      <w:r w:rsidDel="00000000" w:rsidR="00000000" w:rsidRPr="00000000">
        <w:rPr>
          <w:rtl w:val="0"/>
        </w:rPr>
      </w:r>
    </w:p>
    <w:p w:rsidR="00000000" w:rsidDel="00000000" w:rsidP="00000000" w:rsidRDefault="00000000" w:rsidRPr="00000000" w14:paraId="0000000D">
      <w:pPr>
        <w:tabs>
          <w:tab w:val="left" w:leader="none" w:pos="8820"/>
        </w:tabs>
        <w:spacing w:before="161" w:lineRule="auto"/>
        <w:ind w:left="1143" w:right="805" w:firstLine="0"/>
        <w:jc w:val="center"/>
        <w:rPr>
          <w:b w:val="1"/>
        </w:rPr>
      </w:pPr>
      <w:r w:rsidDel="00000000" w:rsidR="00000000" w:rsidRPr="00000000">
        <w:rPr>
          <w:b w:val="1"/>
          <w:rtl w:val="0"/>
        </w:rPr>
        <w:t xml:space="preserve">Google Meet - Join by phone</w:t>
      </w:r>
    </w:p>
    <w:p w:rsidR="00000000" w:rsidDel="00000000" w:rsidP="00000000" w:rsidRDefault="00000000" w:rsidRPr="00000000" w14:paraId="0000000E">
      <w:pPr>
        <w:tabs>
          <w:tab w:val="left" w:leader="none" w:pos="8820"/>
        </w:tabs>
        <w:spacing w:before="161" w:lineRule="auto"/>
        <w:ind w:left="1143" w:right="805" w:firstLine="0"/>
        <w:jc w:val="center"/>
        <w:rPr>
          <w:b w:val="1"/>
        </w:rPr>
      </w:pPr>
      <w:r w:rsidDel="00000000" w:rsidR="00000000" w:rsidRPr="00000000">
        <w:rPr>
          <w:b w:val="1"/>
          <w:rtl w:val="0"/>
        </w:rPr>
        <w:t xml:space="preserve"> +1 224-323-6799 PIN: 884 634 912# </w:t>
      </w:r>
    </w:p>
    <w:p w:rsidR="00000000" w:rsidDel="00000000" w:rsidP="00000000" w:rsidRDefault="00000000" w:rsidRPr="00000000" w14:paraId="0000000F">
      <w:pPr>
        <w:tabs>
          <w:tab w:val="left" w:leader="none" w:pos="8820"/>
        </w:tabs>
        <w:spacing w:before="161" w:lineRule="auto"/>
        <w:ind w:left="1143" w:right="805" w:firstLine="0"/>
        <w:jc w:val="center"/>
        <w:rPr>
          <w:b w:val="1"/>
        </w:rPr>
      </w:pPr>
      <w:r w:rsidDel="00000000" w:rsidR="00000000" w:rsidRPr="00000000">
        <w:rPr>
          <w:b w:val="1"/>
          <w:rtl w:val="0"/>
        </w:rPr>
        <w:t xml:space="preserve">Google Meet - Video link </w:t>
      </w:r>
    </w:p>
    <w:p w:rsidR="00000000" w:rsidDel="00000000" w:rsidP="00000000" w:rsidRDefault="00000000" w:rsidRPr="00000000" w14:paraId="00000010">
      <w:pPr>
        <w:tabs>
          <w:tab w:val="left" w:leader="none" w:pos="8820"/>
        </w:tabs>
        <w:spacing w:before="161" w:lineRule="auto"/>
        <w:ind w:left="1143" w:right="805" w:firstLine="0"/>
        <w:jc w:val="center"/>
        <w:rPr>
          <w:b w:val="1"/>
          <w:color w:val="1155cc"/>
        </w:rPr>
      </w:pPr>
      <w:r w:rsidDel="00000000" w:rsidR="00000000" w:rsidRPr="00000000">
        <w:rPr>
          <w:b w:val="1"/>
          <w:rtl w:val="0"/>
        </w:rPr>
        <w:t xml:space="preserve">http://</w:t>
      </w:r>
      <w:r w:rsidDel="00000000" w:rsidR="00000000" w:rsidRPr="00000000">
        <w:fldChar w:fldCharType="begin"/>
        <w:instrText xml:space="preserve"> HYPERLINK "https://meet.google.com/yrv-dxoa-qry?hs=122&amp;authuser=0" </w:instrText>
        <w:fldChar w:fldCharType="separate"/>
      </w:r>
      <w:r w:rsidDel="00000000" w:rsidR="00000000" w:rsidRPr="00000000">
        <w:rPr>
          <w:b w:val="1"/>
          <w:color w:val="1155cc"/>
          <w:rtl w:val="0"/>
        </w:rPr>
        <w:t xml:space="preserve">meet.google.com/yrv-dxoa-qry</w:t>
      </w:r>
    </w:p>
    <w:p w:rsidR="00000000" w:rsidDel="00000000" w:rsidP="00000000" w:rsidRDefault="00000000" w:rsidRPr="00000000" w14:paraId="00000011">
      <w:pPr>
        <w:tabs>
          <w:tab w:val="left" w:leader="none" w:pos="8820"/>
        </w:tabs>
        <w:spacing w:before="161" w:lineRule="auto"/>
        <w:ind w:left="1143" w:right="805" w:firstLine="0"/>
        <w:jc w:val="center"/>
        <w:rPr>
          <w:b w:val="1"/>
          <w:sz w:val="24"/>
          <w:szCs w:val="24"/>
        </w:rPr>
      </w:pPr>
      <w:r w:rsidDel="00000000" w:rsidR="00000000" w:rsidRPr="00000000">
        <w:fldChar w:fldCharType="end"/>
      </w:r>
      <w:r w:rsidDel="00000000" w:rsidR="00000000" w:rsidRPr="00000000">
        <w:fldChar w:fldCharType="begin"/>
        <w:instrText xml:space="preserve"> HYPERLINK "https://meet.google.com/yrv-dxoa-qry?hs=122&amp;authuser=0" </w:instrText>
        <w:fldChar w:fldCharType="separate"/>
      </w:r>
      <w:r w:rsidDel="00000000" w:rsidR="00000000" w:rsidRPr="00000000">
        <w:rPr>
          <w:rtl w:val="0"/>
        </w:rPr>
      </w:r>
    </w:p>
    <w:p w:rsidR="00000000" w:rsidDel="00000000" w:rsidP="00000000" w:rsidRDefault="00000000" w:rsidRPr="00000000" w14:paraId="00000012">
      <w:pPr>
        <w:shd w:fill="ffffff" w:val="clear"/>
        <w:tabs>
          <w:tab w:val="left" w:leader="none" w:pos="8820"/>
        </w:tabs>
        <w:spacing w:before="161" w:line="360" w:lineRule="auto"/>
        <w:ind w:left="1143" w:right="805" w:firstLine="0"/>
        <w:jc w:val="center"/>
        <w:rPr>
          <w:rFonts w:ascii="Roboto" w:cs="Roboto" w:eastAsia="Roboto" w:hAnsi="Roboto"/>
          <w:b w:val="1"/>
          <w:color w:val="3c4043"/>
          <w:sz w:val="18"/>
          <w:szCs w:val="18"/>
          <w:highlight w:val="yellow"/>
        </w:rPr>
      </w:pP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left" w:leader="none" w:pos="8820"/>
        </w:tabs>
        <w:spacing w:before="161" w:lineRule="auto"/>
        <w:ind w:left="1143" w:right="805" w:firstLine="0"/>
        <w:jc w:val="center"/>
        <w:rPr/>
      </w:pPr>
      <w:r w:rsidDel="00000000" w:rsidR="00000000" w:rsidRPr="00000000">
        <w:rPr>
          <w:b w:val="0"/>
          <w:u w:val="none"/>
          <w:rtl w:val="0"/>
        </w:rPr>
        <w:t xml:space="preserve">**</w:t>
      </w:r>
      <w:r w:rsidDel="00000000" w:rsidR="00000000" w:rsidRPr="00000000">
        <w:rPr>
          <w:u w:val="none"/>
          <w:rtl w:val="0"/>
        </w:rPr>
        <w:t xml:space="preserve">NOTE: </w:t>
      </w:r>
      <w:r w:rsidDel="00000000" w:rsidR="00000000" w:rsidRPr="00000000">
        <w:rPr>
          <w:rtl w:val="0"/>
        </w:rPr>
        <w:t xml:space="preserve">Members of the public do not need to have a Google account to participate in this meeting. **</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8820"/>
        </w:tabs>
        <w:spacing w:before="10" w:lineRule="auto"/>
        <w:rPr>
          <w:b w:val="1"/>
          <w:color w:val="000000"/>
          <w:sz w:val="23"/>
          <w:szCs w:val="23"/>
        </w:rPr>
      </w:pPr>
      <w:r w:rsidDel="00000000" w:rsidR="00000000" w:rsidRPr="00000000">
        <w:rPr>
          <w:rtl w:val="0"/>
        </w:rPr>
      </w:r>
    </w:p>
    <w:p w:rsidR="00000000" w:rsidDel="00000000" w:rsidP="00000000" w:rsidRDefault="00000000" w:rsidRPr="00000000" w14:paraId="00000015">
      <w:pPr>
        <w:tabs>
          <w:tab w:val="left" w:leader="none" w:pos="8820"/>
        </w:tabs>
        <w:spacing w:line="249" w:lineRule="auto"/>
        <w:ind w:left="940" w:right="572" w:firstLine="0"/>
        <w:jc w:val="both"/>
        <w:rPr>
          <w:b w:val="1"/>
          <w:i w:val="1"/>
          <w:sz w:val="24"/>
          <w:szCs w:val="24"/>
        </w:rPr>
      </w:pPr>
      <w:r w:rsidDel="00000000" w:rsidR="00000000" w:rsidRPr="00000000">
        <w:rPr>
          <w:i w:val="1"/>
          <w:sz w:val="24"/>
          <w:szCs w:val="24"/>
          <w:rtl w:val="0"/>
        </w:rPr>
        <w:t xml:space="preserve">*</w:t>
      </w:r>
      <w:r w:rsidDel="00000000" w:rsidR="00000000" w:rsidRPr="00000000">
        <w:rPr>
          <w:b w:val="1"/>
          <w:i w:val="1"/>
          <w:sz w:val="24"/>
          <w:szCs w:val="24"/>
          <w:rtl w:val="0"/>
        </w:rPr>
        <w:t xml:space="preserve">Please note that members of the public that choose to utilize Google Meet must keep their microphone muted for the duration of the meeting. If a member of the public wishes to speak, they may unmute their microphone by pressing *6.</w:t>
      </w:r>
    </w:p>
    <w:p w:rsidR="00000000" w:rsidDel="00000000" w:rsidP="00000000" w:rsidRDefault="00000000" w:rsidRPr="00000000" w14:paraId="00000016">
      <w:pPr>
        <w:tabs>
          <w:tab w:val="left" w:leader="none" w:pos="8820"/>
        </w:tabs>
        <w:spacing w:line="249" w:lineRule="auto"/>
        <w:ind w:left="940" w:right="572" w:firstLine="0"/>
        <w:jc w:val="both"/>
        <w:rPr>
          <w:b w:val="1"/>
          <w:i w:val="1"/>
          <w:color w:val="000000"/>
          <w:sz w:val="26"/>
          <w:szCs w:val="26"/>
        </w:rPr>
      </w:pPr>
      <w:r w:rsidDel="00000000" w:rsidR="00000000" w:rsidRPr="00000000">
        <w:rPr>
          <w:rtl w:val="0"/>
        </w:rPr>
      </w:r>
    </w:p>
    <w:p w:rsidR="00000000" w:rsidDel="00000000" w:rsidP="00000000" w:rsidRDefault="00000000" w:rsidRPr="00000000" w14:paraId="00000017">
      <w:pPr>
        <w:tabs>
          <w:tab w:val="left" w:leader="none" w:pos="8820"/>
        </w:tabs>
        <w:spacing w:line="249" w:lineRule="auto"/>
        <w:ind w:left="940" w:right="572" w:firstLine="0"/>
        <w:jc w:val="both"/>
        <w:rPr>
          <w:b w:val="1"/>
          <w:i w:val="1"/>
          <w:color w:val="000000"/>
        </w:rPr>
      </w:pPr>
      <w:r w:rsidDel="00000000" w:rsidR="00000000" w:rsidRPr="00000000">
        <w:rPr>
          <w:rtl w:val="0"/>
        </w:rPr>
      </w:r>
    </w:p>
    <w:p w:rsidR="00000000" w:rsidDel="00000000" w:rsidP="00000000" w:rsidRDefault="00000000" w:rsidRPr="00000000" w14:paraId="00000018">
      <w:pPr>
        <w:tabs>
          <w:tab w:val="left" w:leader="none" w:pos="8820"/>
        </w:tabs>
        <w:spacing w:line="249" w:lineRule="auto"/>
        <w:ind w:left="940" w:right="572" w:firstLine="0"/>
        <w:jc w:val="both"/>
        <w:rPr>
          <w:b w:val="1"/>
          <w:i w:val="1"/>
          <w:color w:val="000000"/>
        </w:rPr>
      </w:pPr>
      <w:r w:rsidDel="00000000" w:rsidR="00000000" w:rsidRPr="00000000">
        <w:rPr>
          <w:rtl w:val="0"/>
        </w:rPr>
      </w:r>
    </w:p>
    <w:p w:rsidR="00000000" w:rsidDel="00000000" w:rsidP="00000000" w:rsidRDefault="00000000" w:rsidRPr="00000000" w14:paraId="00000019">
      <w:pPr>
        <w:tabs>
          <w:tab w:val="left" w:leader="none" w:pos="8820"/>
        </w:tabs>
        <w:spacing w:line="249" w:lineRule="auto"/>
        <w:ind w:left="940" w:right="572" w:firstLine="0"/>
        <w:jc w:val="both"/>
        <w:rPr>
          <w:b w:val="1"/>
          <w:i w:val="1"/>
          <w:color w:val="000000"/>
        </w:rPr>
      </w:pPr>
      <w:r w:rsidDel="00000000" w:rsidR="00000000" w:rsidRPr="00000000">
        <w:rPr>
          <w:rtl w:val="0"/>
        </w:rPr>
      </w:r>
    </w:p>
    <w:p w:rsidR="00000000" w:rsidDel="00000000" w:rsidP="00000000" w:rsidRDefault="00000000" w:rsidRPr="00000000" w14:paraId="0000001A">
      <w:pPr>
        <w:tabs>
          <w:tab w:val="left" w:leader="none" w:pos="8820"/>
        </w:tabs>
        <w:spacing w:line="249" w:lineRule="auto"/>
        <w:ind w:left="940" w:right="572" w:firstLine="0"/>
        <w:jc w:val="both"/>
        <w:rPr>
          <w:b w:val="1"/>
          <w:i w:val="1"/>
          <w:color w:val="000000"/>
        </w:rPr>
      </w:pPr>
      <w:r w:rsidDel="00000000" w:rsidR="00000000" w:rsidRPr="00000000">
        <w:rPr>
          <w:rtl w:val="0"/>
        </w:rPr>
      </w:r>
    </w:p>
    <w:p w:rsidR="00000000" w:rsidDel="00000000" w:rsidP="00000000" w:rsidRDefault="00000000" w:rsidRPr="00000000" w14:paraId="0000001B">
      <w:pPr>
        <w:tabs>
          <w:tab w:val="left" w:leader="none" w:pos="8820"/>
        </w:tabs>
        <w:spacing w:line="249" w:lineRule="auto"/>
        <w:ind w:left="940" w:right="572" w:firstLine="0"/>
        <w:jc w:val="both"/>
        <w:rPr>
          <w:b w:val="1"/>
          <w:i w:val="1"/>
          <w:color w:val="000000"/>
        </w:rPr>
      </w:pPr>
      <w:r w:rsidDel="00000000" w:rsidR="00000000" w:rsidRPr="00000000">
        <w:rPr>
          <w:rtl w:val="0"/>
        </w:rPr>
      </w:r>
    </w:p>
    <w:p w:rsidR="00000000" w:rsidDel="00000000" w:rsidP="00000000" w:rsidRDefault="00000000" w:rsidRPr="00000000" w14:paraId="0000001C">
      <w:pPr>
        <w:tabs>
          <w:tab w:val="left" w:leader="none" w:pos="8820"/>
        </w:tabs>
        <w:spacing w:line="249" w:lineRule="auto"/>
        <w:ind w:left="940" w:right="572" w:firstLine="0"/>
        <w:jc w:val="center"/>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1D">
      <w:pPr>
        <w:tabs>
          <w:tab w:val="left" w:leader="none" w:pos="8820"/>
        </w:tabs>
        <w:spacing w:line="249" w:lineRule="auto"/>
        <w:ind w:left="940" w:right="572" w:firstLine="0"/>
        <w:jc w:val="center"/>
        <w:rPr>
          <w:b w:val="1"/>
          <w:i w:val="1"/>
          <w:color w:val="000000"/>
        </w:rPr>
      </w:pPr>
      <w:r w:rsidDel="00000000" w:rsidR="00000000" w:rsidRPr="00000000">
        <w:rPr>
          <w:b w:val="1"/>
          <w:i w:val="1"/>
          <w:color w:val="000000"/>
          <w:rtl w:val="0"/>
        </w:rPr>
        <w:t xml:space="preserve">The purpose of the meeting to:</w:t>
      </w:r>
    </w:p>
    <w:p w:rsidR="00000000" w:rsidDel="00000000" w:rsidP="00000000" w:rsidRDefault="00000000" w:rsidRPr="00000000" w14:paraId="0000001E">
      <w:pPr>
        <w:widowControl w:val="1"/>
        <w:shd w:fill="ffffff" w:val="clear"/>
        <w:ind w:left="864" w:right="864" w:firstLine="0"/>
        <w:rPr>
          <w:rFonts w:ascii="Times" w:cs="Times" w:eastAsia="Times" w:hAnsi="Times"/>
          <w:color w:val="000000"/>
        </w:rPr>
      </w:pPr>
      <w:r w:rsidDel="00000000" w:rsidR="00000000" w:rsidRPr="00000000">
        <w:rPr>
          <w:rFonts w:ascii="Times" w:cs="Times" w:eastAsia="Times" w:hAnsi="Times"/>
          <w:color w:val="000000"/>
          <w:rtl w:val="0"/>
        </w:rPr>
        <w:t xml:space="preserve">Receive public input on its proposed grant application to the U.S. Department of Energy for the</w:t>
      </w:r>
      <w:r w:rsidDel="00000000" w:rsidR="00000000" w:rsidRPr="00000000">
        <w:rPr>
          <w:rFonts w:ascii="Times" w:cs="Times" w:eastAsia="Times" w:hAnsi="Times"/>
          <w:i w:val="1"/>
          <w:color w:val="000000"/>
          <w:rtl w:val="0"/>
        </w:rPr>
        <w:t xml:space="preserve"> Preventing Outages and Enhancing the Resilience of the Electric Grid</w:t>
      </w:r>
      <w:r w:rsidDel="00000000" w:rsidR="00000000" w:rsidRPr="00000000">
        <w:rPr>
          <w:rFonts w:ascii="Times" w:cs="Times" w:eastAsia="Times" w:hAnsi="Times"/>
          <w:color w:val="000000"/>
          <w:rtl w:val="0"/>
        </w:rPr>
        <w:t xml:space="preserve"> program created under the Infrastructure Investment and Jobs Act (IIJA).</w:t>
      </w:r>
    </w:p>
    <w:p w:rsidR="00000000" w:rsidDel="00000000" w:rsidP="00000000" w:rsidRDefault="00000000" w:rsidRPr="00000000" w14:paraId="0000001F">
      <w:pPr>
        <w:widowControl w:val="1"/>
        <w:shd w:fill="ffffff" w:val="clear"/>
        <w:ind w:left="864" w:right="864" w:firstLine="0"/>
        <w:jc w:val="center"/>
        <w:rPr>
          <w:rFonts w:ascii="Times" w:cs="Times" w:eastAsia="Times" w:hAnsi="Times"/>
        </w:rPr>
      </w:pPr>
      <w:r w:rsidDel="00000000" w:rsidR="00000000" w:rsidRPr="00000000">
        <w:rPr>
          <w:rtl w:val="0"/>
        </w:rPr>
      </w:r>
    </w:p>
    <w:p w:rsidR="00000000" w:rsidDel="00000000" w:rsidP="00000000" w:rsidRDefault="00000000" w:rsidRPr="00000000" w14:paraId="00000020">
      <w:pPr>
        <w:widowControl w:val="1"/>
        <w:shd w:fill="ffffff" w:val="clear"/>
        <w:ind w:left="864" w:right="864" w:firstLine="0"/>
        <w:rPr>
          <w:rFonts w:ascii="Times" w:cs="Times" w:eastAsia="Times" w:hAnsi="Times"/>
          <w:color w:val="000000"/>
        </w:rPr>
      </w:pPr>
      <w:r w:rsidDel="00000000" w:rsidR="00000000" w:rsidRPr="00000000">
        <w:rPr>
          <w:rFonts w:ascii="Times" w:cs="Times" w:eastAsia="Times" w:hAnsi="Times"/>
          <w:color w:val="000000"/>
          <w:rtl w:val="0"/>
        </w:rPr>
        <w:t xml:space="preserve">Information about the federal grant opportunity can be found at:</w:t>
      </w:r>
      <w:hyperlink r:id="rId7">
        <w:r w:rsidDel="00000000" w:rsidR="00000000" w:rsidRPr="00000000">
          <w:rPr>
            <w:rFonts w:ascii="Times" w:cs="Times" w:eastAsia="Times" w:hAnsi="Times"/>
            <w:color w:val="1155cc"/>
            <w:u w:val="single"/>
            <w:rtl w:val="0"/>
          </w:rPr>
          <w:t xml:space="preserve"> Section 40101(d) Formula Grants to States &amp; Indian Tribes | netl.doe.gov.</w:t>
        </w:r>
      </w:hyperlink>
      <w:r w:rsidDel="00000000" w:rsidR="00000000" w:rsidRPr="00000000">
        <w:rPr>
          <w:rFonts w:ascii="Times" w:cs="Times" w:eastAsia="Times" w:hAnsi="Times"/>
          <w:color w:val="000000"/>
          <w:rtl w:val="0"/>
        </w:rPr>
        <w:t xml:space="preserve"> </w:t>
      </w:r>
    </w:p>
    <w:p w:rsidR="00000000" w:rsidDel="00000000" w:rsidP="00000000" w:rsidRDefault="00000000" w:rsidRPr="00000000" w14:paraId="00000021">
      <w:pPr>
        <w:widowControl w:val="1"/>
        <w:shd w:fill="ffffff" w:val="clear"/>
        <w:ind w:left="864" w:right="864" w:firstLine="0"/>
        <w:rPr>
          <w:rFonts w:ascii="Times" w:cs="Times" w:eastAsia="Times" w:hAnsi="Times"/>
        </w:rPr>
      </w:pPr>
      <w:r w:rsidDel="00000000" w:rsidR="00000000" w:rsidRPr="00000000">
        <w:rPr>
          <w:rtl w:val="0"/>
        </w:rPr>
      </w:r>
    </w:p>
    <w:p w:rsidR="00000000" w:rsidDel="00000000" w:rsidP="00000000" w:rsidRDefault="00000000" w:rsidRPr="00000000" w14:paraId="00000022">
      <w:pPr>
        <w:widowControl w:val="1"/>
        <w:shd w:fill="ffffff" w:val="clear"/>
        <w:ind w:left="864" w:right="864" w:firstLine="0"/>
        <w:rPr>
          <w:rFonts w:ascii="Times" w:cs="Times" w:eastAsia="Times" w:hAnsi="Times"/>
          <w:color w:val="000000"/>
        </w:rPr>
      </w:pPr>
      <w:r w:rsidDel="00000000" w:rsidR="00000000" w:rsidRPr="00000000">
        <w:rPr>
          <w:rFonts w:ascii="Times" w:cs="Times" w:eastAsia="Times" w:hAnsi="Times"/>
          <w:color w:val="000000"/>
          <w:rtl w:val="0"/>
        </w:rPr>
        <w:t xml:space="preserve">The federal grant opportunity is currently open for states, tribes, and territories to apply directly to the U.S. Department of Energy.</w:t>
      </w:r>
    </w:p>
    <w:p w:rsidR="00000000" w:rsidDel="00000000" w:rsidP="00000000" w:rsidRDefault="00000000" w:rsidRPr="00000000" w14:paraId="00000023">
      <w:pPr>
        <w:widowControl w:val="1"/>
        <w:shd w:fill="ffffff" w:val="clear"/>
        <w:ind w:left="864" w:right="864" w:firstLine="0"/>
        <w:rPr>
          <w:rFonts w:ascii="Times" w:cs="Times" w:eastAsia="Times" w:hAnsi="Times"/>
        </w:rPr>
      </w:pPr>
      <w:r w:rsidDel="00000000" w:rsidR="00000000" w:rsidRPr="00000000">
        <w:rPr>
          <w:rtl w:val="0"/>
        </w:rPr>
      </w:r>
    </w:p>
    <w:p w:rsidR="00000000" w:rsidDel="00000000" w:rsidP="00000000" w:rsidRDefault="00000000" w:rsidRPr="00000000" w14:paraId="00000024">
      <w:pPr>
        <w:widowControl w:val="1"/>
        <w:shd w:fill="ffffff" w:val="clear"/>
        <w:spacing w:after="600" w:lineRule="auto"/>
        <w:ind w:left="864" w:right="864" w:firstLine="0"/>
        <w:rPr>
          <w:rFonts w:ascii="Times" w:cs="Times" w:eastAsia="Times" w:hAnsi="Times"/>
        </w:rPr>
      </w:pPr>
      <w:r w:rsidDel="00000000" w:rsidR="00000000" w:rsidRPr="00000000">
        <w:rPr>
          <w:rFonts w:ascii="Times" w:cs="Times" w:eastAsia="Times" w:hAnsi="Times"/>
          <w:color w:val="000000"/>
          <w:rtl w:val="0"/>
        </w:rPr>
        <w:t xml:space="preserve">Section 40101(d)(2)(B)(ii) of the IIJA requires that ADOA give notice and undertake a public hearing to review: (1) the criteria and methods the department anticipates using to make awards to eligible entities, and (2) the proposed funding distributions and recipients of the grant awards.</w:t>
      </w:r>
      <w:r w:rsidDel="00000000" w:rsidR="00000000" w:rsidRPr="00000000">
        <w:rPr>
          <w:rtl w:val="0"/>
        </w:rPr>
      </w:r>
    </w:p>
    <w:p w:rsidR="00000000" w:rsidDel="00000000" w:rsidP="00000000" w:rsidRDefault="00000000" w:rsidRPr="00000000" w14:paraId="00000025">
      <w:pPr>
        <w:widowControl w:val="1"/>
        <w:shd w:fill="ffffff" w:val="clear"/>
        <w:spacing w:after="600" w:lineRule="auto"/>
        <w:ind w:left="864" w:right="864" w:firstLine="0"/>
        <w:rPr>
          <w:color w:val="000000"/>
        </w:rPr>
      </w:pPr>
      <w:r w:rsidDel="00000000" w:rsidR="00000000" w:rsidRPr="00000000">
        <w:rPr>
          <w:color w:val="000000"/>
          <w:rtl w:val="0"/>
        </w:rPr>
        <w:t xml:space="preserve">The agenda for this meeting follows. Any amendments or additions to the agenda will be available at least 24 hours prior to the meeting.</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tabs>
          <w:tab w:val="left" w:leader="none" w:pos="1559"/>
          <w:tab w:val="left" w:leader="none" w:pos="1561"/>
        </w:tabs>
        <w:spacing w:before="78" w:lineRule="auto"/>
        <w:ind w:left="1560" w:hanging="721"/>
        <w:rPr>
          <w:b w:val="1"/>
          <w:color w:val="000000"/>
        </w:rPr>
      </w:pPr>
      <w:r w:rsidDel="00000000" w:rsidR="00000000" w:rsidRPr="00000000">
        <w:rPr>
          <w:b w:val="1"/>
          <w:rtl w:val="0"/>
        </w:rPr>
        <w:t xml:space="preserve">Introductions and Record Attendees</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tabs>
          <w:tab w:val="left" w:leader="none" w:pos="1559"/>
          <w:tab w:val="left" w:leader="none" w:pos="1561"/>
        </w:tabs>
        <w:spacing w:before="78" w:lineRule="auto"/>
        <w:ind w:left="1560" w:hanging="721"/>
        <w:rPr>
          <w:b w:val="1"/>
          <w:color w:val="000000"/>
        </w:rPr>
      </w:pPr>
      <w:r w:rsidDel="00000000" w:rsidR="00000000" w:rsidRPr="00000000">
        <w:rPr>
          <w:b w:val="1"/>
          <w:color w:val="000000"/>
          <w:rtl w:val="0"/>
        </w:rPr>
        <w:t xml:space="preserve">Overview of the IIJA GRID Grant</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tabs>
          <w:tab w:val="left" w:leader="none" w:pos="1559"/>
          <w:tab w:val="left" w:leader="none" w:pos="1561"/>
        </w:tabs>
        <w:spacing w:before="78" w:lineRule="auto"/>
        <w:ind w:left="1560" w:hanging="721"/>
        <w:rPr>
          <w:b w:val="1"/>
          <w:u w:val="none"/>
        </w:rPr>
      </w:pPr>
      <w:r w:rsidDel="00000000" w:rsidR="00000000" w:rsidRPr="00000000">
        <w:rPr>
          <w:b w:val="1"/>
          <w:rtl w:val="0"/>
        </w:rPr>
        <w:t xml:space="preserve">ADOA 2-Year Funding Plan</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tabs>
          <w:tab w:val="left" w:leader="none" w:pos="1559"/>
          <w:tab w:val="left" w:leader="none" w:pos="1561"/>
        </w:tabs>
        <w:spacing w:before="78" w:lineRule="auto"/>
        <w:ind w:left="1560" w:hanging="721"/>
        <w:rPr>
          <w:b w:val="1"/>
          <w:color w:val="000000"/>
        </w:rPr>
      </w:pPr>
      <w:r w:rsidDel="00000000" w:rsidR="00000000" w:rsidRPr="00000000">
        <w:rPr>
          <w:b w:val="1"/>
          <w:rtl w:val="0"/>
        </w:rPr>
        <w:t xml:space="preserve">Open </w:t>
      </w:r>
      <w:r w:rsidDel="00000000" w:rsidR="00000000" w:rsidRPr="00000000">
        <w:rPr>
          <w:b w:val="1"/>
          <w:color w:val="000000"/>
          <w:rtl w:val="0"/>
        </w:rPr>
        <w:t xml:space="preserve">Discussion</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tabs>
          <w:tab w:val="left" w:leader="none" w:pos="1559"/>
          <w:tab w:val="left" w:leader="none" w:pos="1561"/>
        </w:tabs>
        <w:spacing w:before="78" w:lineRule="auto"/>
        <w:ind w:left="1560" w:hanging="721"/>
        <w:rPr>
          <w:b w:val="1"/>
          <w:color w:val="000000"/>
        </w:rPr>
      </w:pPr>
      <w:r w:rsidDel="00000000" w:rsidR="00000000" w:rsidRPr="00000000">
        <w:rPr>
          <w:b w:val="1"/>
          <w:color w:val="000000"/>
          <w:rtl w:val="0"/>
        </w:rPr>
        <w:t xml:space="preserve">Adjourn</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1559"/>
          <w:tab w:val="left" w:leader="none" w:pos="1561"/>
        </w:tabs>
        <w:spacing w:before="78" w:lineRule="auto"/>
        <w:ind w:left="0" w:firstLine="0"/>
        <w:rPr>
          <w:b w:val="1"/>
        </w:rPr>
      </w:pPr>
      <w:r w:rsidDel="00000000" w:rsidR="00000000" w:rsidRPr="00000000">
        <w:rPr>
          <w:rtl w:val="0"/>
        </w:rPr>
      </w:r>
    </w:p>
    <w:p w:rsidR="00000000" w:rsidDel="00000000" w:rsidP="00000000" w:rsidRDefault="00000000" w:rsidRPr="00000000" w14:paraId="0000002C">
      <w:pPr>
        <w:tabs>
          <w:tab w:val="left" w:leader="none" w:pos="8820"/>
        </w:tabs>
        <w:ind w:left="840" w:right="599" w:firstLine="720"/>
        <w:rPr/>
      </w:pPr>
      <w:r w:rsidDel="00000000" w:rsidR="00000000" w:rsidRPr="00000000">
        <w:rPr>
          <w:rtl w:val="0"/>
        </w:rPr>
        <w:t xml:space="preserve">Pursuant to Title II of the Americans with Disabilities Act (ADA), the ADOA will not discriminate on the basis of disability in admission to and observation of its public meetings. Persons with a disability may request a reasonable accommodation such as a sign language interpreter, by contacting the Board’s Office at (602) 542-1553. Requests should be made as early as possible to allow time to arrange the accommodation.</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1559"/>
          <w:tab w:val="left" w:leader="none" w:pos="1561"/>
        </w:tabs>
        <w:spacing w:before="78" w:lineRule="auto"/>
        <w:ind w:left="0" w:firstLine="0"/>
        <w:rPr>
          <w:b w:val="1"/>
        </w:rPr>
      </w:pPr>
      <w:r w:rsidDel="00000000" w:rsidR="00000000" w:rsidRPr="00000000">
        <w:rPr>
          <w:rtl w:val="0"/>
        </w:rPr>
      </w:r>
    </w:p>
    <w:p w:rsidR="00000000" w:rsidDel="00000000" w:rsidP="00000000" w:rsidRDefault="00000000" w:rsidRPr="00000000" w14:paraId="0000002E">
      <w:pPr>
        <w:ind w:left="1559" w:firstLine="0"/>
        <w:rPr/>
      </w:pPr>
      <w:r w:rsidDel="00000000" w:rsidR="00000000" w:rsidRPr="00000000">
        <w:rPr>
          <w:rtl w:val="0"/>
        </w:rPr>
        <w:t xml:space="preserve">DATED AND POSTED this 14th day of February 2023 at 4:00 p.m.</w:t>
      </w:r>
      <w:r w:rsidDel="00000000" w:rsidR="00000000" w:rsidRPr="00000000">
        <w:rPr>
          <w:rtl w:val="0"/>
        </w:rPr>
      </w:r>
    </w:p>
    <w:p w:rsidR="00000000" w:rsidDel="00000000" w:rsidP="00000000" w:rsidRDefault="00000000" w:rsidRPr="00000000" w14:paraId="0000002F">
      <w:pPr>
        <w:ind w:left="1559" w:firstLine="0"/>
        <w:rPr>
          <w:b w:val="1"/>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183" w:lineRule="auto"/>
        <w:ind w:left="840" w:right="5767" w:firstLine="0"/>
        <w:rPr>
          <w:color w:val="000000"/>
        </w:rPr>
      </w:pPr>
      <w:r w:rsidDel="00000000" w:rsidR="00000000" w:rsidRPr="00000000">
        <w:rPr>
          <w:color w:val="000000"/>
          <w:rtl w:val="0"/>
        </w:rPr>
        <w:t xml:space="preserve">A copy of the foregoing was emailed: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183" w:lineRule="auto"/>
        <w:ind w:left="840" w:right="5767" w:firstLine="0"/>
        <w:rPr/>
      </w:pPr>
      <w:r w:rsidDel="00000000" w:rsidR="00000000" w:rsidRPr="00000000">
        <w:rPr>
          <w:color w:val="000000"/>
          <w:rtl w:val="0"/>
        </w:rPr>
        <w:t xml:space="preserve">This </w:t>
      </w:r>
      <w:r w:rsidDel="00000000" w:rsidR="00000000" w:rsidRPr="00000000">
        <w:rPr>
          <w:rtl w:val="0"/>
        </w:rPr>
        <w:t xml:space="preserve">14</w:t>
      </w:r>
      <w:r w:rsidDel="00000000" w:rsidR="00000000" w:rsidRPr="00000000">
        <w:rPr>
          <w:color w:val="000000"/>
          <w:vertAlign w:val="superscript"/>
          <w:rtl w:val="0"/>
        </w:rPr>
        <w:t xml:space="preserve">th</w:t>
      </w:r>
      <w:r w:rsidDel="00000000" w:rsidR="00000000" w:rsidRPr="00000000">
        <w:rPr>
          <w:color w:val="000000"/>
          <w:rtl w:val="0"/>
        </w:rPr>
        <w:t xml:space="preserve"> day </w:t>
      </w:r>
      <w:r w:rsidDel="00000000" w:rsidR="00000000" w:rsidRPr="00000000">
        <w:rPr>
          <w:rtl w:val="0"/>
        </w:rPr>
        <w:t xml:space="preserve">of February, 2023</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4" w:lineRule="auto"/>
        <w:rPr>
          <w:b w:val="1"/>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7" w:lineRule="auto"/>
        <w:rPr>
          <w:color w:val="000000"/>
        </w:rPr>
      </w:pPr>
      <w:r w:rsidDel="00000000" w:rsidR="00000000" w:rsidRPr="00000000">
        <w:rPr>
          <w:color w:val="000000"/>
          <w:rtl w:val="0"/>
        </w:rPr>
        <w:t xml:space="preserve">               </w:t>
      </w:r>
      <w:r w:rsidDel="00000000" w:rsidR="00000000" w:rsidRPr="00000000">
        <w:rPr>
          <w:rtl w:val="0"/>
        </w:rPr>
        <w:t xml:space="preserve">Nicole Sornsin, General Counsel-ADOA</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7" w:lineRule="auto"/>
        <w:ind w:firstLine="810"/>
        <w:rPr>
          <w:color w:val="000000"/>
        </w:rPr>
      </w:pPr>
      <w:r w:rsidDel="00000000" w:rsidR="00000000" w:rsidRPr="00000000">
        <w:rPr>
          <w:color w:val="000000"/>
          <w:rtl w:val="0"/>
        </w:rPr>
        <w:t xml:space="preserve">Thomas Sahhar, Energy Programs Manager</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7" w:lineRule="auto"/>
        <w:rPr>
          <w:color w:val="000000"/>
          <w:sz w:val="21"/>
          <w:szCs w:val="2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1" w:lineRule="auto"/>
        <w:ind w:left="0" w:right="5664" w:firstLine="0"/>
        <w:rPr/>
      </w:pPr>
      <w:r w:rsidDel="00000000" w:rsidR="00000000" w:rsidRPr="00000000">
        <w:rPr>
          <w:sz w:val="21"/>
          <w:szCs w:val="21"/>
          <w:rtl w:val="0"/>
        </w:rPr>
        <w:tab/>
      </w:r>
      <w:r w:rsidDel="00000000" w:rsidR="00000000" w:rsidRPr="00000000">
        <w:rPr>
          <w:rtl w:val="0"/>
        </w:rPr>
      </w:r>
    </w:p>
    <w:sectPr>
      <w:headerReference r:id="rId8" w:type="default"/>
      <w:pgSz w:h="15840" w:w="12240" w:orient="portrait"/>
      <w:pgMar w:bottom="280" w:top="720" w:left="60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1331.0" w:type="dxa"/>
      <w:jc w:val="left"/>
      <w:tblInd w:w="-115.0" w:type="dxa"/>
      <w:tblLayout w:type="fixed"/>
      <w:tblLook w:val="0400"/>
    </w:tblPr>
    <w:tblGrid>
      <w:gridCol w:w="2365"/>
      <w:gridCol w:w="6750"/>
      <w:gridCol w:w="2216"/>
      <w:tblGridChange w:id="0">
        <w:tblGrid>
          <w:gridCol w:w="2365"/>
          <w:gridCol w:w="6750"/>
          <w:gridCol w:w="2216"/>
        </w:tblGrid>
      </w:tblGridChange>
    </w:tblGrid>
    <w:tr>
      <w:trPr>
        <w:cantSplit w:val="0"/>
        <w:trHeight w:val="1386.9140625" w:hRule="atLeast"/>
        <w:tblHeader w:val="0"/>
      </w:trPr>
      <w:tc>
        <w:tcPr>
          <w:tcMar>
            <w:top w:w="0.0" w:type="dxa"/>
            <w:left w:w="115.0" w:type="dxa"/>
            <w:bottom w:w="0.0" w:type="dxa"/>
            <w:right w:w="115.0" w:type="dxa"/>
          </w:tcMar>
        </w:tcPr>
        <w:p w:rsidR="00000000" w:rsidDel="00000000" w:rsidP="00000000" w:rsidRDefault="00000000" w:rsidRPr="00000000" w14:paraId="00000038">
          <w:pPr>
            <w:spacing w:after="240" w:lineRule="auto"/>
            <w:rPr/>
          </w:pPr>
          <w:r w:rsidDel="00000000" w:rsidR="00000000" w:rsidRPr="00000000">
            <w:rPr>
              <w:rtl w:val="0"/>
            </w:rPr>
          </w:r>
        </w:p>
        <w:p w:rsidR="00000000" w:rsidDel="00000000" w:rsidP="00000000" w:rsidRDefault="00000000" w:rsidRPr="00000000" w14:paraId="00000039">
          <w:pPr>
            <w:pStyle w:val="Heading2"/>
            <w:ind w:left="0" w:firstLine="0"/>
            <w:jc w:val="center"/>
            <w:rPr/>
          </w:pPr>
          <w:r w:rsidDel="00000000" w:rsidR="00000000" w:rsidRPr="00000000">
            <w:rPr>
              <w:color w:val="000000"/>
              <w:sz w:val="20"/>
              <w:szCs w:val="20"/>
              <w:rtl w:val="0"/>
            </w:rPr>
            <w:t xml:space="preserve">Katie Hobbs</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Governor</w:t>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838200" cy="822960"/>
                <wp:effectExtent b="0" l="0" r="0" t="0"/>
                <wp:docPr descr="https://lh6.googleusercontent.com/1902TaAL7BAni1bqolqsLwMOLrubIT1A33pWifhQLJB0GmpoWcALjB4mze4NGserC3jHld6n_vB14gKohitNwkUtRQTX9i0S0qssqLbf8CpIKv0RrNbT9ov_aSj1jR1Z2NHjVhaNAV1UcPi1-dB6aSY" id="3" name="image1.png"/>
                <a:graphic>
                  <a:graphicData uri="http://schemas.openxmlformats.org/drawingml/2006/picture">
                    <pic:pic>
                      <pic:nvPicPr>
                        <pic:cNvPr descr="https://lh6.googleusercontent.com/1902TaAL7BAni1bqolqsLwMOLrubIT1A33pWifhQLJB0GmpoWcALjB4mze4NGserC3jHld6n_vB14gKohitNwkUtRQTX9i0S0qssqLbf8CpIKv0RrNbT9ov_aSj1jR1Z2NHjVhaNAV1UcPi1-dB6aSY" id="0" name="image1.png"/>
                        <pic:cNvPicPr preferRelativeResize="0"/>
                      </pic:nvPicPr>
                      <pic:blipFill>
                        <a:blip r:embed="rId1"/>
                        <a:srcRect b="0" l="0" r="0" t="0"/>
                        <a:stretch>
                          <a:fillRect/>
                        </a:stretch>
                      </pic:blipFill>
                      <pic:spPr>
                        <a:xfrm>
                          <a:off x="0" y="0"/>
                          <a:ext cx="838200" cy="822960"/>
                        </a:xfrm>
                        <a:prstGeom prst="rect"/>
                        <a:ln/>
                      </pic:spPr>
                    </pic:pic>
                  </a:graphicData>
                </a:graphic>
              </wp:inline>
            </w:drawing>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3C">
          <w:pPr>
            <w:spacing w:after="240" w:lineRule="auto"/>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Elizabeth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Alvarado-Thorson</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Director</w:t>
          </w:r>
          <w:r w:rsidDel="00000000" w:rsidR="00000000" w:rsidRPr="00000000">
            <w:rPr>
              <w:rtl w:val="0"/>
            </w:rPr>
          </w:r>
        </w:p>
      </w:tc>
    </w:tr>
    <w:tr>
      <w:trPr>
        <w:cantSplit w:val="0"/>
        <w:tblHeader w:val="0"/>
      </w:trPr>
      <w:tc>
        <w:tcPr>
          <w:tcMar>
            <w:top w:w="0.0" w:type="dxa"/>
            <w:left w:w="115.0" w:type="dxa"/>
            <w:bottom w:w="0.0" w:type="dxa"/>
            <w:right w:w="115.0" w:type="dxa"/>
          </w:tcMar>
        </w:tcPr>
        <w:p w:rsidR="00000000" w:rsidDel="00000000" w:rsidP="00000000" w:rsidRDefault="00000000" w:rsidRPr="00000000" w14:paraId="00000040">
          <w:pPr>
            <w:rPr>
              <w:sz w:val="2"/>
              <w:szCs w:val="2"/>
            </w:rPr>
          </w:pP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4"/>
            <w:spacing w:after="0" w:before="0" w:lineRule="auto"/>
            <w:jc w:val="center"/>
            <w:rPr/>
          </w:pPr>
          <w:r w:rsidDel="00000000" w:rsidR="00000000" w:rsidRPr="00000000">
            <w:rPr>
              <w:color w:val="000000"/>
              <w:rtl w:val="0"/>
            </w:rPr>
            <w:t xml:space="preserve">ARIZONA DEPARTMENT OF ADMINISTRATION</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INFRASTRUCTURE INVESTMENT AND JOBS ACT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GRID GRANT</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1400 WEST WASHINGTON STREET • SUITE B200</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PHOENIX, ARIZONA 85007</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(602) 542-1796</w:t>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48">
          <w:pPr>
            <w:rPr>
              <w:sz w:val="2"/>
              <w:szCs w:val="2"/>
            </w:rPr>
          </w:pP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60" w:hanging="721"/>
      </w:pPr>
      <w:rPr/>
    </w:lvl>
    <w:lvl w:ilvl="1">
      <w:start w:val="1"/>
      <w:numFmt w:val="bullet"/>
      <w:lvlText w:val="•"/>
      <w:lvlJc w:val="left"/>
      <w:pPr>
        <w:ind w:left="2470" w:hanging="721"/>
      </w:pPr>
      <w:rPr/>
    </w:lvl>
    <w:lvl w:ilvl="2">
      <w:start w:val="1"/>
      <w:numFmt w:val="bullet"/>
      <w:lvlText w:val="•"/>
      <w:lvlJc w:val="left"/>
      <w:pPr>
        <w:ind w:left="3380" w:hanging="721"/>
      </w:pPr>
      <w:rPr/>
    </w:lvl>
    <w:lvl w:ilvl="3">
      <w:start w:val="1"/>
      <w:numFmt w:val="bullet"/>
      <w:lvlText w:val="•"/>
      <w:lvlJc w:val="left"/>
      <w:pPr>
        <w:ind w:left="4290" w:hanging="721"/>
      </w:pPr>
      <w:rPr/>
    </w:lvl>
    <w:lvl w:ilvl="4">
      <w:start w:val="1"/>
      <w:numFmt w:val="bullet"/>
      <w:lvlText w:val="•"/>
      <w:lvlJc w:val="left"/>
      <w:pPr>
        <w:ind w:left="5200" w:hanging="721"/>
      </w:pPr>
      <w:rPr/>
    </w:lvl>
    <w:lvl w:ilvl="5">
      <w:start w:val="1"/>
      <w:numFmt w:val="bullet"/>
      <w:lvlText w:val="•"/>
      <w:lvlJc w:val="left"/>
      <w:pPr>
        <w:ind w:left="6110" w:hanging="721"/>
      </w:pPr>
      <w:rPr/>
    </w:lvl>
    <w:lvl w:ilvl="6">
      <w:start w:val="1"/>
      <w:numFmt w:val="bullet"/>
      <w:lvlText w:val="•"/>
      <w:lvlJc w:val="left"/>
      <w:pPr>
        <w:ind w:left="7020" w:hanging="721"/>
      </w:pPr>
      <w:rPr/>
    </w:lvl>
    <w:lvl w:ilvl="7">
      <w:start w:val="1"/>
      <w:numFmt w:val="bullet"/>
      <w:lvlText w:val="•"/>
      <w:lvlJc w:val="left"/>
      <w:pPr>
        <w:ind w:left="7930" w:hanging="721"/>
      </w:pPr>
      <w:rPr/>
    </w:lvl>
    <w:lvl w:ilvl="8">
      <w:start w:val="1"/>
      <w:numFmt w:val="bullet"/>
      <w:lvlText w:val="•"/>
      <w:lvlJc w:val="left"/>
      <w:pPr>
        <w:ind w:left="8840" w:hanging="72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940" w:right="805"/>
      <w:jc w:val="center"/>
    </w:pPr>
    <w:rPr>
      <w:b w:val="1"/>
      <w:sz w:val="24"/>
      <w:szCs w:val="24"/>
      <w:u w:val="single"/>
    </w:rPr>
  </w:style>
  <w:style w:type="paragraph" w:styleId="Heading2">
    <w:name w:val="heading 2"/>
    <w:basedOn w:val="Normal"/>
    <w:next w:val="Normal"/>
    <w:pPr>
      <w:ind w:left="1559" w:hanging="721"/>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lang w:bidi="en-US"/>
    </w:rPr>
  </w:style>
  <w:style w:type="paragraph" w:styleId="Heading1">
    <w:name w:val="heading 1"/>
    <w:basedOn w:val="Normal"/>
    <w:uiPriority w:val="1"/>
    <w:qFormat w:val="1"/>
    <w:pPr>
      <w:spacing w:before="90"/>
      <w:ind w:left="940" w:right="805"/>
      <w:jc w:val="center"/>
      <w:outlineLvl w:val="0"/>
    </w:pPr>
    <w:rPr>
      <w:b w:val="1"/>
      <w:bCs w:val="1"/>
      <w:sz w:val="24"/>
      <w:szCs w:val="24"/>
      <w:u w:color="000000" w:val="single"/>
    </w:rPr>
  </w:style>
  <w:style w:type="paragraph" w:styleId="Heading2">
    <w:name w:val="heading 2"/>
    <w:basedOn w:val="Normal"/>
    <w:uiPriority w:val="1"/>
    <w:qFormat w:val="1"/>
    <w:pPr>
      <w:ind w:left="1559" w:hanging="721"/>
      <w:outlineLvl w:val="1"/>
    </w:pPr>
    <w:rPr>
      <w:b w:val="1"/>
      <w:bCs w:val="1"/>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odyText">
    <w:name w:val="Body Text"/>
    <w:basedOn w:val="Normal"/>
    <w:uiPriority w:val="1"/>
    <w:qFormat w:val="1"/>
  </w:style>
  <w:style w:type="paragraph" w:styleId="ListParagraph">
    <w:name w:val="List Paragraph"/>
    <w:basedOn w:val="Normal"/>
    <w:uiPriority w:val="1"/>
    <w:qFormat w:val="1"/>
    <w:pPr>
      <w:ind w:left="1559" w:hanging="721"/>
    </w:pPr>
  </w:style>
  <w:style w:type="paragraph" w:styleId="TableParagraph" w:customStyle="1">
    <w:name w:val="Table Paragraph"/>
    <w:basedOn w:val="Normal"/>
    <w:uiPriority w:val="1"/>
    <w:qFormat w:val="1"/>
    <w:pPr>
      <w:ind w:left="2565" w:right="2288"/>
      <w:jc w:val="center"/>
    </w:pPr>
  </w:style>
  <w:style w:type="paragraph" w:styleId="BalloonText">
    <w:name w:val="Balloon Text"/>
    <w:basedOn w:val="Normal"/>
    <w:link w:val="BalloonTextChar"/>
    <w:uiPriority w:val="99"/>
    <w:semiHidden w:val="1"/>
    <w:unhideWhenUsed w:val="1"/>
    <w:rsid w:val="00833E0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33E03"/>
    <w:rPr>
      <w:rFonts w:ascii="Tahoma" w:cs="Tahoma" w:eastAsia="Times New Roman" w:hAnsi="Tahoma"/>
      <w:sz w:val="16"/>
      <w:szCs w:val="16"/>
      <w:lang w:bidi="en-US"/>
    </w:rPr>
  </w:style>
  <w:style w:type="character" w:styleId="Hyperlink">
    <w:name w:val="Hyperlink"/>
    <w:basedOn w:val="DefaultParagraphFont"/>
    <w:uiPriority w:val="99"/>
    <w:unhideWhenUsed w:val="1"/>
    <w:rsid w:val="00D3244D"/>
    <w:rPr>
      <w:color w:val="0000ff"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character" w:styleId="dpvwyc" w:customStyle="1">
    <w:name w:val="dpvwyc"/>
    <w:basedOn w:val="DefaultParagraphFont"/>
    <w:rsid w:val="004A065B"/>
  </w:style>
  <w:style w:type="character" w:styleId="CommentReference">
    <w:name w:val="annotation reference"/>
    <w:basedOn w:val="DefaultParagraphFont"/>
    <w:uiPriority w:val="99"/>
    <w:semiHidden w:val="1"/>
    <w:unhideWhenUsed w:val="1"/>
    <w:rsid w:val="00E7104B"/>
    <w:rPr>
      <w:sz w:val="16"/>
      <w:szCs w:val="16"/>
    </w:rPr>
  </w:style>
  <w:style w:type="paragraph" w:styleId="CommentText">
    <w:name w:val="annotation text"/>
    <w:basedOn w:val="Normal"/>
    <w:link w:val="CommentTextChar"/>
    <w:uiPriority w:val="99"/>
    <w:semiHidden w:val="1"/>
    <w:unhideWhenUsed w:val="1"/>
    <w:rsid w:val="00E7104B"/>
    <w:rPr>
      <w:sz w:val="20"/>
      <w:szCs w:val="20"/>
    </w:rPr>
  </w:style>
  <w:style w:type="character" w:styleId="CommentTextChar" w:customStyle="1">
    <w:name w:val="Comment Text Char"/>
    <w:basedOn w:val="DefaultParagraphFont"/>
    <w:link w:val="CommentText"/>
    <w:uiPriority w:val="99"/>
    <w:semiHidden w:val="1"/>
    <w:rsid w:val="00E7104B"/>
    <w:rPr>
      <w:sz w:val="20"/>
      <w:szCs w:val="20"/>
      <w:lang w:bidi="en-US"/>
    </w:rPr>
  </w:style>
  <w:style w:type="paragraph" w:styleId="CommentSubject">
    <w:name w:val="annotation subject"/>
    <w:basedOn w:val="CommentText"/>
    <w:next w:val="CommentText"/>
    <w:link w:val="CommentSubjectChar"/>
    <w:uiPriority w:val="99"/>
    <w:semiHidden w:val="1"/>
    <w:unhideWhenUsed w:val="1"/>
    <w:rsid w:val="00E7104B"/>
    <w:rPr>
      <w:b w:val="1"/>
      <w:bCs w:val="1"/>
    </w:rPr>
  </w:style>
  <w:style w:type="character" w:styleId="CommentSubjectChar" w:customStyle="1">
    <w:name w:val="Comment Subject Char"/>
    <w:basedOn w:val="CommentTextChar"/>
    <w:link w:val="CommentSubject"/>
    <w:uiPriority w:val="99"/>
    <w:semiHidden w:val="1"/>
    <w:rsid w:val="00E7104B"/>
    <w:rPr>
      <w:b w:val="1"/>
      <w:bCs w:val="1"/>
      <w:sz w:val="20"/>
      <w:szCs w:val="20"/>
      <w:lang w:bidi="en-US"/>
    </w:rPr>
  </w:style>
  <w:style w:type="table" w:styleId="a0" w:customStyle="1">
    <w:basedOn w:val="TableNormal"/>
    <w:tblPr>
      <w:tblStyleRowBandSize w:val="1"/>
      <w:tblStyleColBandSize w:val="1"/>
      <w:tblCellMar>
        <w:left w:w="0.0" w:type="dxa"/>
        <w:right w:w="0.0" w:type="dxa"/>
      </w:tblCellMar>
    </w:tblPr>
  </w:style>
  <w:style w:type="paragraph" w:styleId="Header">
    <w:name w:val="header"/>
    <w:basedOn w:val="Normal"/>
    <w:link w:val="HeaderChar"/>
    <w:uiPriority w:val="99"/>
    <w:unhideWhenUsed w:val="1"/>
    <w:rsid w:val="0012585B"/>
    <w:pPr>
      <w:tabs>
        <w:tab w:val="center" w:pos="4680"/>
        <w:tab w:val="right" w:pos="9360"/>
      </w:tabs>
    </w:pPr>
  </w:style>
  <w:style w:type="character" w:styleId="HeaderChar" w:customStyle="1">
    <w:name w:val="Header Char"/>
    <w:basedOn w:val="DefaultParagraphFont"/>
    <w:link w:val="Header"/>
    <w:uiPriority w:val="99"/>
    <w:rsid w:val="0012585B"/>
    <w:rPr>
      <w:lang w:bidi="en-US"/>
    </w:rPr>
  </w:style>
  <w:style w:type="paragraph" w:styleId="Footer">
    <w:name w:val="footer"/>
    <w:basedOn w:val="Normal"/>
    <w:link w:val="FooterChar"/>
    <w:uiPriority w:val="99"/>
    <w:unhideWhenUsed w:val="1"/>
    <w:rsid w:val="0012585B"/>
    <w:pPr>
      <w:tabs>
        <w:tab w:val="center" w:pos="4680"/>
        <w:tab w:val="right" w:pos="9360"/>
      </w:tabs>
    </w:pPr>
  </w:style>
  <w:style w:type="character" w:styleId="FooterChar" w:customStyle="1">
    <w:name w:val="Footer Char"/>
    <w:basedOn w:val="DefaultParagraphFont"/>
    <w:link w:val="Footer"/>
    <w:uiPriority w:val="99"/>
    <w:rsid w:val="0012585B"/>
    <w:rPr>
      <w:lang w:bidi="en-US"/>
    </w:rPr>
  </w:style>
  <w:style w:type="paragraph" w:styleId="NormalWeb">
    <w:name w:val="Normal (Web)"/>
    <w:basedOn w:val="Normal"/>
    <w:uiPriority w:val="99"/>
    <w:unhideWhenUsed w:val="1"/>
    <w:rsid w:val="0012585B"/>
    <w:pPr>
      <w:widowControl w:val="1"/>
      <w:spacing w:after="100" w:afterAutospacing="1" w:before="100" w:beforeAutospacing="1"/>
    </w:pPr>
    <w:rPr>
      <w:sz w:val="24"/>
      <w:szCs w:val="24"/>
      <w:lang w:bidi="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etl.doe.gov/bilhub/grid-resilience/formula-grant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o/uh3z27RiFGoHLX3pA4p+VkoQ==">AMUW2mV7WVoInPEB9RXkB7hlbxH+a3kPVfkCxitbd+jcRF9gbs8798aCOrWRpp0k31G3Ik9J6g8OpdtSRKo/FdF2BuWK2zgMMQgwLUxo4A82fqhEKg3ZhLM=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2023-02-09T21:25:00Z</dcterms:created>
  <dc:creator>Lisa Kautz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Acrobat PDFMaker 20 for Word</vt:lpwstr>
  </property>
  <property fmtid="{D5CDD505-2E9C-101B-9397-08002B2CF9AE}" pid="4" name="LastSaved">
    <vt:filetime>2020-04-15T00:00:00Z</vt:filetime>
  </property>
</Properties>
</file>