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w:t>
      </w:r>
    </w:p>
    <w:p w:rsidR="00000000" w:rsidDel="00000000" w:rsidP="00000000" w:rsidRDefault="00000000" w:rsidRPr="00000000" w14:paraId="00000002">
      <w:pPr>
        <w:widowControl w:val="0"/>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July 31, 2018</w:t>
      </w:r>
    </w:p>
    <w:p w:rsidR="00000000" w:rsidDel="00000000" w:rsidP="00000000" w:rsidRDefault="00000000" w:rsidRPr="00000000" w14:paraId="00000003">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Revised on July 26, 2018</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July 31, 2018 at 10:00 a.m.</w:t>
      </w:r>
      <w:r w:rsidDel="00000000" w:rsidR="00000000" w:rsidRPr="00000000">
        <w:rPr>
          <w:rFonts w:ascii="Times New Roman" w:cs="Times New Roman" w:eastAsia="Times New Roman" w:hAnsi="Times New Roman"/>
          <w:rtl w:val="0"/>
        </w:rPr>
        <w:t xml:space="preserve"> at the Arizona Department of Administration, 100 N. 15th Avenue, Room 300, Phoenix, AZ. Items for discussion at this study session meeting may be considered at the Council’s </w:t>
      </w:r>
      <w:r w:rsidDel="00000000" w:rsidR="00000000" w:rsidRPr="00000000">
        <w:rPr>
          <w:rFonts w:ascii="Times New Roman" w:cs="Times New Roman" w:eastAsia="Times New Roman" w:hAnsi="Times New Roman"/>
          <w:b w:val="1"/>
          <w:rtl w:val="0"/>
        </w:rPr>
        <w:t xml:space="preserve">August 7, 2018 </w:t>
      </w:r>
      <w:r w:rsidDel="00000000" w:rsidR="00000000" w:rsidRPr="00000000">
        <w:rPr>
          <w:rFonts w:ascii="Times New Roman" w:cs="Times New Roman" w:eastAsia="Times New Roman" w:hAnsi="Times New Roman"/>
          <w:rtl w:val="0"/>
        </w:rPr>
        <w:t xml:space="preserve">meeting. For additional information, please call (602) 542-2058.  </w:t>
        <w:br w:type="textWrapping"/>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Council staff at (602) 542-2058. Requests should be made as early as possible to allow time to arrange the accommodation.</w:t>
      </w:r>
    </w:p>
    <w:p w:rsidR="00000000" w:rsidDel="00000000" w:rsidP="00000000" w:rsidRDefault="00000000" w:rsidRPr="00000000" w14:paraId="00000007">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 </w:t>
      </w:r>
    </w:p>
    <w:p w:rsidR="00000000" w:rsidDel="00000000" w:rsidP="00000000" w:rsidRDefault="00000000" w:rsidRPr="00000000" w14:paraId="00000009">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D">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0F">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DISCLOSURE OF</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CONFLICTS OF INTEREST</w:t>
      </w:r>
    </w:p>
    <w:p w:rsidR="00000000" w:rsidDel="00000000" w:rsidP="00000000" w:rsidRDefault="00000000" w:rsidRPr="00000000" w14:paraId="00000011">
      <w:pPr>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MONTHLY COUNCIL STAFF REPORT</w:t>
      </w:r>
    </w:p>
    <w:p w:rsidR="00000000" w:rsidDel="00000000" w:rsidP="00000000" w:rsidRDefault="00000000" w:rsidRPr="00000000" w14:paraId="00000013">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CONSIDERATION AND DISCUSSION OF A.R.S. 41-1056(F) EXTENSION REQUEST FROM THE DEPARTMENT OF HEALTH SERVICES </w:t>
      </w:r>
    </w:p>
    <w:p w:rsidR="00000000" w:rsidDel="00000000" w:rsidP="00000000" w:rsidRDefault="00000000" w:rsidRPr="00000000" w14:paraId="00000015">
      <w:pPr>
        <w:spacing w:after="0" w:before="0" w:line="240" w:lineRule="auto"/>
        <w:ind w:left="864"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CONSIDERATION AND DISCUSSION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OF RULES:</w:t>
      </w:r>
    </w:p>
    <w:p w:rsidR="00000000" w:rsidDel="00000000" w:rsidP="00000000" w:rsidRDefault="00000000" w:rsidRPr="00000000" w14:paraId="00000017">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882" w:right="0" w:hanging="432"/>
        <w:contextualSpacing w:val="1"/>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DEPARTMENT OF HEALTH SERVICES (R-18-0801)</w:t>
      </w:r>
      <w:r w:rsidDel="00000000" w:rsidR="00000000" w:rsidRPr="00000000">
        <w:rPr>
          <w:rtl w:val="0"/>
        </w:rPr>
      </w:r>
    </w:p>
    <w:p w:rsidR="00000000" w:rsidDel="00000000" w:rsidP="00000000" w:rsidRDefault="00000000" w:rsidRPr="00000000" w14:paraId="00000019">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mowzy3w322l0" w:id="0"/>
      <w:bookmarkEnd w:id="0"/>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Title 9, Chapter , Article 7, Required Immunizations for Child Care or School Entry</w:t>
        <w:tab/>
        <w:t xml:space="preserve">         </w:t>
      </w:r>
    </w:p>
    <w:p w:rsidR="00000000" w:rsidDel="00000000" w:rsidP="00000000" w:rsidRDefault="00000000" w:rsidRPr="00000000" w14:paraId="0000001A">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B">
      <w:pPr>
        <w:widowControl w:val="0"/>
        <w:tabs>
          <w:tab w:val="left" w:pos="360"/>
        </w:tabs>
        <w:spacing w:after="0" w:before="0" w:line="240" w:lineRule="auto"/>
        <w:ind w:left="0" w:firstLine="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 </w:t>
        <w:tab/>
        <w:t xml:space="preserve">R9-6-701; R9-6-702; R9-6-703; R9-6-704; R9-6-705; R9-6-706; R9-6-707; </w:t>
      </w:r>
    </w:p>
    <w:p w:rsidR="00000000" w:rsidDel="00000000" w:rsidP="00000000" w:rsidRDefault="00000000" w:rsidRPr="00000000" w14:paraId="0000001C">
      <w:pPr>
        <w:widowControl w:val="0"/>
        <w:tabs>
          <w:tab w:val="left" w:pos="2160"/>
        </w:tabs>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R9-6-708; Table 7.1; Table 7.2</w:t>
      </w:r>
    </w:p>
    <w:p w:rsidR="00000000" w:rsidDel="00000000" w:rsidP="00000000" w:rsidRDefault="00000000" w:rsidRPr="00000000" w14:paraId="0000001D">
      <w:pPr>
        <w:widowControl w:val="0"/>
        <w:tabs>
          <w:tab w:val="left" w:pos="360"/>
        </w:tabs>
        <w:spacing w:after="0" w:before="0" w:line="240" w:lineRule="auto"/>
        <w:ind w:left="900" w:hanging="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Table 1; Table 2</w:t>
      </w:r>
    </w:p>
    <w:p w:rsidR="00000000" w:rsidDel="00000000" w:rsidP="00000000" w:rsidRDefault="00000000" w:rsidRPr="00000000" w14:paraId="0000001E">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REGISTRAR OF CONTRACTORS (R-18-0802)</w:t>
        <w:br w:type="textWrapping"/>
      </w:r>
      <w:r w:rsidDel="00000000" w:rsidR="00000000" w:rsidRPr="00000000">
        <w:rPr>
          <w:rFonts w:ascii="Times New Roman" w:cs="Times New Roman" w:eastAsia="Times New Roman" w:hAnsi="Times New Roman"/>
          <w:rtl w:val="0"/>
        </w:rPr>
        <w:t xml:space="preserve">Title 4, Chapter 9, Article 1, General Provisions</w:t>
      </w:r>
    </w:p>
    <w:p w:rsidR="00000000" w:rsidDel="00000000" w:rsidP="00000000" w:rsidRDefault="00000000" w:rsidRPr="00000000" w14:paraId="000000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R4-9-106; R4-9-119</w:t>
      </w: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900" w:hanging="900"/>
        <w:contextualSpacing w:val="1"/>
        <w:rPr/>
      </w:pPr>
      <w:r w:rsidDel="00000000" w:rsidR="00000000" w:rsidRPr="00000000">
        <w:rPr>
          <w:rFonts w:ascii="Times New Roman" w:cs="Times New Roman" w:eastAsia="Times New Roman" w:hAnsi="Times New Roman"/>
          <w:rtl w:val="0"/>
        </w:rPr>
        <w:t xml:space="preserve">CONSIDERATION AND DISCUSSION OF FIVE-YEAR REVIEW REPORTS:</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PUBLIC SAFETY (F-18-0801)</w:t>
      </w:r>
    </w:p>
    <w:p w:rsidR="00000000" w:rsidDel="00000000" w:rsidP="00000000" w:rsidRDefault="00000000" w:rsidRPr="00000000" w14:paraId="00000025">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13, Chapter 1, Article 1, Criminal History Records; Article 2, ACJIS Network; Article 3, Arizona Crime Statistics; Article 4, Applicant Fingerprint Processing; Article 5, Department Records</w:t>
      </w:r>
    </w:p>
    <w:p w:rsidR="00000000" w:rsidDel="00000000" w:rsidP="00000000" w:rsidRDefault="00000000" w:rsidRPr="00000000" w14:paraId="00000026">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HEALTH SERVICES (F-18-0802)</w:t>
      </w:r>
    </w:p>
    <w:p w:rsidR="00000000" w:rsidDel="00000000" w:rsidP="00000000" w:rsidRDefault="00000000" w:rsidRPr="00000000" w14:paraId="00000028">
      <w:pPr>
        <w:spacing w:after="0" w:line="240" w:lineRule="auto"/>
        <w:ind w:left="90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9, Chapter 10, Article 14, Substance Abuse Transitional Facilities</w:t>
      </w:r>
      <w:r w:rsidDel="00000000" w:rsidR="00000000" w:rsidRPr="00000000">
        <w:rPr>
          <w:rtl w:val="0"/>
        </w:rPr>
      </w:r>
    </w:p>
    <w:p w:rsidR="00000000" w:rsidDel="00000000" w:rsidP="00000000" w:rsidRDefault="00000000" w:rsidRPr="00000000" w14:paraId="00000029">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TRANSPORTATION (F-18-0803)</w:t>
      </w:r>
    </w:p>
    <w:p w:rsidR="00000000" w:rsidDel="00000000" w:rsidP="00000000" w:rsidRDefault="00000000" w:rsidRPr="00000000" w14:paraId="0000002B">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17, Chapter 4, Article 4, Driver Licenses</w:t>
      </w:r>
    </w:p>
    <w:p w:rsidR="00000000" w:rsidDel="00000000" w:rsidP="00000000" w:rsidRDefault="00000000" w:rsidRPr="00000000" w14:paraId="0000002C">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MEDICAL BOARD (F-18-0804)</w:t>
      </w:r>
    </w:p>
    <w:p w:rsidR="00000000" w:rsidDel="00000000" w:rsidP="00000000" w:rsidRDefault="00000000" w:rsidRPr="00000000" w14:paraId="0000002E">
      <w:pPr>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16, Article 7, Office-based Surgery Using Sedation</w:t>
      </w:r>
      <w:r w:rsidDel="00000000" w:rsidR="00000000" w:rsidRPr="00000000">
        <w:rPr>
          <w:rtl w:val="0"/>
        </w:rPr>
      </w:r>
    </w:p>
    <w:p w:rsidR="00000000" w:rsidDel="00000000" w:rsidP="00000000" w:rsidRDefault="00000000" w:rsidRPr="00000000" w14:paraId="0000002F">
      <w:pPr>
        <w:spacing w:after="0" w:line="240" w:lineRule="auto"/>
        <w:ind w:left="90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882" w:hanging="432"/>
        <w:contextualSpacing w:val="1"/>
        <w:rPr/>
      </w:pPr>
      <w:r w:rsidDel="00000000" w:rsidR="00000000" w:rsidRPr="00000000">
        <w:rPr>
          <w:rFonts w:ascii="Times New Roman" w:cs="Times New Roman" w:eastAsia="Times New Roman" w:hAnsi="Times New Roman"/>
          <w:b w:val="1"/>
          <w:rtl w:val="0"/>
        </w:rPr>
        <w:t xml:space="preserve">DEPARTMENT OF ECONOMIC SECURITY (F-18-0806)</w:t>
      </w:r>
    </w:p>
    <w:p w:rsidR="00000000" w:rsidDel="00000000" w:rsidP="00000000" w:rsidRDefault="00000000" w:rsidRPr="00000000" w14:paraId="00000031">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6, Chapter 4, Article 1, State Agency Administration; Article 2, Provision of Services to Individuals; Article 3, Business Enterprise Program; Article 4, Other Rules and Provisions that Relate to Providing Services to Individuals</w:t>
      </w:r>
    </w:p>
    <w:p w:rsidR="00000000" w:rsidDel="00000000" w:rsidP="00000000" w:rsidRDefault="00000000" w:rsidRPr="00000000" w14:paraId="00000032">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ECONOMIC SECURITY (F-18-0807)</w:t>
      </w:r>
    </w:p>
    <w:p w:rsidR="00000000" w:rsidDel="00000000" w:rsidP="00000000" w:rsidRDefault="00000000" w:rsidRPr="00000000" w14:paraId="00000034">
      <w:pPr>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6, Chapter 11, Article 1, General Provisions; Article 2, JTPA Appeal Process</w:t>
      </w:r>
      <w:r w:rsidDel="00000000" w:rsidR="00000000" w:rsidRPr="00000000">
        <w:rPr>
          <w:rtl w:val="0"/>
        </w:rPr>
      </w:r>
    </w:p>
    <w:p w:rsidR="00000000" w:rsidDel="00000000" w:rsidP="00000000" w:rsidRDefault="00000000" w:rsidRPr="00000000" w14:paraId="00000035">
      <w:pPr>
        <w:spacing w:after="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37">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Governor’s Regulatory Review Council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w:t>
    </w:r>
    <w:r w:rsidDel="00000000" w:rsidR="00000000" w:rsidRPr="00000000">
      <w:rPr>
        <w:rFonts w:ascii="Times New Roman" w:cs="Times New Roman" w:eastAsia="Times New Roman" w:hAnsi="Times New Roman"/>
        <w:b w:val="1"/>
        <w:sz w:val="20"/>
        <w:szCs w:val="20"/>
        <w:rtl w:val="0"/>
      </w:rPr>
      <w:t xml:space="preserve">July 31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 Study Session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Revised on July 26, 2018</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64" w:hanging="864"/>
      </w:pPr>
      <w:rPr>
        <w:rFonts w:ascii="Times New Roman" w:cs="Times New Roman" w:eastAsia="Times New Roman" w:hAnsi="Times New Roman"/>
        <w:b w:val="1"/>
        <w:i w:val="0"/>
        <w:smallCaps w:val="1"/>
        <w:sz w:val="22"/>
        <w:szCs w:val="22"/>
      </w:rPr>
    </w:lvl>
    <w:lvl w:ilvl="1">
      <w:start w:val="1"/>
      <w:numFmt w:val="decimal"/>
      <w:lvlText w:val="%2."/>
      <w:lvlJc w:val="left"/>
      <w:pPr>
        <w:ind w:left="882" w:hanging="432"/>
      </w:pPr>
      <w:rPr>
        <w:rFonts w:ascii="Times New Roman" w:cs="Times New Roman" w:eastAsia="Times New Roman" w:hAnsi="Times New Roman"/>
        <w:b w:val="1"/>
        <w:i w:val="0"/>
        <w:smallCaps w:val="1"/>
        <w:sz w:val="22"/>
        <w:szCs w:val="22"/>
        <w:u w:val="none"/>
      </w:rPr>
    </w:lvl>
    <w:lvl w:ilvl="2">
      <w:start w:val="1"/>
      <w:numFmt w:val="decimal"/>
      <w:lvlText w:val="%3."/>
      <w:lvlJc w:val="left"/>
      <w:pPr>
        <w:ind w:left="2448" w:hanging="720"/>
      </w:pPr>
      <w:rPr>
        <w:b w:val="1"/>
        <w:i w:val="0"/>
        <w:sz w:val="24"/>
        <w:szCs w:val="24"/>
      </w:rPr>
    </w:lvl>
    <w:lvl w:ilvl="3">
      <w:start w:val="1"/>
      <w:numFmt w:val="decimal"/>
      <w:lvlText w:val="(%4)"/>
      <w:lvlJc w:val="left"/>
      <w:pPr>
        <w:ind w:left="3600" w:hanging="1224"/>
      </w:pPr>
      <w:rPr/>
    </w:lvl>
    <w:lvl w:ilvl="4">
      <w:start w:val="1"/>
      <w:numFmt w:val="lowerLetter"/>
      <w:lvlText w:val="(%5)"/>
      <w:lvlJc w:val="left"/>
      <w:pPr>
        <w:ind w:left="4752" w:hanging="1224.0000000000005"/>
      </w:pPr>
      <w:rPr/>
    </w:lvl>
    <w:lvl w:ilvl="5">
      <w:start w:val="1"/>
      <w:numFmt w:val="lowerRoman"/>
      <w:lvlText w:val="(%6)"/>
      <w:lvlJc w:val="left"/>
      <w:pPr>
        <w:ind w:left="5616" w:hanging="1008"/>
      </w:pPr>
      <w:rPr/>
    </w:lvl>
    <w:lvl w:ilvl="6">
      <w:start w:val="1"/>
      <w:numFmt w:val="decimal"/>
      <w:lvlText w:val="%7."/>
      <w:lvlJc w:val="left"/>
      <w:pPr>
        <w:ind w:left="6336" w:hanging="864"/>
      </w:pPr>
      <w:rPr/>
    </w:lvl>
    <w:lvl w:ilvl="7">
      <w:start w:val="1"/>
      <w:numFmt w:val="lowerLetter"/>
      <w:lvlText w:val="%8."/>
      <w:lvlJc w:val="left"/>
      <w:pPr>
        <w:ind w:left="7200" w:hanging="864"/>
      </w:pPr>
      <w:rPr/>
    </w:lvl>
    <w:lvl w:ilvl="8">
      <w:start w:val="1"/>
      <w:numFmt w:val="lowerRoman"/>
      <w:lvlText w:val="%9."/>
      <w:lvlJc w:val="left"/>
      <w:pPr>
        <w:ind w:left="7920" w:hanging="64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